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auto"/>
          <w:sz w:val="24"/>
          <w:szCs w:val="32"/>
          <w:highlight w:val="none"/>
          <w:lang w:val="en-US" w:eastAsia="zh-CN"/>
        </w:rPr>
      </w:pPr>
      <w:bookmarkStart w:id="2" w:name="_GoBack"/>
      <w:r>
        <w:rPr>
          <w:rFonts w:hint="eastAsia"/>
          <w:b/>
          <w:bCs/>
          <w:color w:val="auto"/>
          <w:sz w:val="24"/>
          <w:szCs w:val="32"/>
          <w:highlight w:val="none"/>
          <w:lang w:val="en-US" w:eastAsia="zh-CN"/>
        </w:rPr>
        <w:t>附件：项目采购需求</w:t>
      </w:r>
    </w:p>
    <w:bookmarkEnd w:id="2"/>
    <w:p>
      <w:pPr>
        <w:spacing w:line="360" w:lineRule="auto"/>
        <w:jc w:val="center"/>
        <w:outlineLvl w:val="0"/>
        <w:rPr>
          <w:rFonts w:hint="eastAsia" w:asciiTheme="minorEastAsia" w:hAnsiTheme="minorEastAsia" w:eastAsiaTheme="minorEastAsia" w:cstheme="minorEastAsia"/>
          <w:b/>
          <w:color w:val="auto"/>
          <w:sz w:val="28"/>
          <w:szCs w:val="28"/>
          <w:highlight w:val="none"/>
        </w:rPr>
      </w:pPr>
      <w:bookmarkStart w:id="0" w:name="_Toc17978"/>
      <w:r>
        <w:rPr>
          <w:rFonts w:hint="eastAsia" w:asciiTheme="minorEastAsia" w:hAnsiTheme="minorEastAsia" w:eastAsiaTheme="minorEastAsia" w:cstheme="minorEastAsia"/>
          <w:b/>
          <w:color w:val="auto"/>
          <w:sz w:val="28"/>
          <w:szCs w:val="28"/>
          <w:highlight w:val="none"/>
        </w:rPr>
        <w:t>第六章 项目采购需求</w:t>
      </w:r>
      <w:bookmarkEnd w:id="0"/>
    </w:p>
    <w:p>
      <w:pPr>
        <w:spacing w:line="360" w:lineRule="auto"/>
        <w:rPr>
          <w:rFonts w:hint="eastAsia" w:asciiTheme="minorEastAsia" w:hAnsiTheme="minorEastAsia" w:eastAsiaTheme="minorEastAsia" w:cstheme="minorEastAsia"/>
          <w:b/>
          <w:bCs/>
          <w:color w:val="auto"/>
          <w:szCs w:val="21"/>
          <w:highlight w:val="none"/>
        </w:rPr>
      </w:pPr>
      <w:bookmarkStart w:id="1" w:name="_Toc457576272"/>
      <w:r>
        <w:rPr>
          <w:rFonts w:hint="eastAsia" w:asciiTheme="minorEastAsia" w:hAnsiTheme="minorEastAsia" w:eastAsiaTheme="minorEastAsia" w:cstheme="minorEastAsia"/>
          <w:b/>
          <w:bCs/>
          <w:color w:val="auto"/>
          <w:szCs w:val="21"/>
          <w:highlight w:val="none"/>
        </w:rPr>
        <w:t>说明：</w:t>
      </w:r>
    </w:p>
    <w:p>
      <w:pPr>
        <w:spacing w:line="360" w:lineRule="auto"/>
        <w:ind w:firstLine="413" w:firstLineChars="196"/>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磋商文件中带“★”的条款为实质性要求和条件，供应商须满足或响应，若无法完全满足，将会被认定为无效竞标。</w:t>
      </w:r>
    </w:p>
    <w:p>
      <w:pPr>
        <w:spacing w:line="360" w:lineRule="auto"/>
        <w:ind w:firstLine="413" w:firstLineChars="196"/>
        <w:rPr>
          <w:rFonts w:hint="eastAsia" w:asciiTheme="minorEastAsia" w:hAnsiTheme="minorEastAsia" w:eastAsiaTheme="minorEastAsia" w:cstheme="minorEastAsia"/>
          <w:b/>
          <w:bCs/>
          <w:color w:val="auto"/>
          <w:szCs w:val="21"/>
          <w:highlight w:val="none"/>
          <w:lang w:eastAsia="zh-CN"/>
        </w:rPr>
      </w:pPr>
      <w:r>
        <w:rPr>
          <w:rFonts w:hint="eastAsia" w:asciiTheme="minorEastAsia" w:hAnsiTheme="minorEastAsia" w:eastAsiaTheme="minorEastAsia" w:cstheme="minorEastAsia"/>
          <w:b/>
          <w:bCs/>
          <w:color w:val="auto"/>
          <w:szCs w:val="21"/>
          <w:highlight w:val="none"/>
        </w:rPr>
        <w:t>采购内容所属行业：</w:t>
      </w:r>
      <w:r>
        <w:rPr>
          <w:rFonts w:hint="eastAsia" w:asciiTheme="minorEastAsia" w:hAnsiTheme="minorEastAsia" w:eastAsiaTheme="minorEastAsia" w:cstheme="minorEastAsia"/>
          <w:b/>
          <w:bCs/>
          <w:color w:val="auto"/>
          <w:szCs w:val="21"/>
          <w:highlight w:val="none"/>
          <w:lang w:eastAsia="zh-CN"/>
        </w:rPr>
        <w:t>批发业。</w:t>
      </w:r>
    </w:p>
    <w:p>
      <w:pPr>
        <w:spacing w:line="360" w:lineRule="auto"/>
        <w:ind w:firstLine="413" w:firstLineChars="196"/>
        <w:rPr>
          <w:rFonts w:hint="eastAsia" w:asciiTheme="minorEastAsia" w:hAnsiTheme="minorEastAsia" w:eastAsiaTheme="minorEastAsia" w:cstheme="minorEastAsia"/>
          <w:b/>
          <w:bCs/>
          <w:color w:val="auto"/>
          <w:szCs w:val="21"/>
          <w:highlight w:val="none"/>
          <w:lang w:eastAsia="zh-CN"/>
        </w:rPr>
      </w:pPr>
    </w:p>
    <w:p>
      <w:pPr>
        <w:pStyle w:val="6"/>
        <w:jc w:val="center"/>
        <w:rPr>
          <w:rFonts w:hint="default"/>
          <w:color w:val="auto"/>
          <w:highlight w:val="none"/>
          <w:lang w:val="en-US" w:eastAsia="zh-CN"/>
        </w:rPr>
      </w:pPr>
      <w:r>
        <w:rPr>
          <w:rFonts w:hint="eastAsia" w:asciiTheme="minorEastAsia" w:hAnsiTheme="minorEastAsia" w:eastAsiaTheme="minorEastAsia" w:cstheme="minorEastAsia"/>
          <w:b/>
          <w:bCs/>
          <w:color w:val="auto"/>
          <w:sz w:val="28"/>
          <w:szCs w:val="22"/>
          <w:highlight w:val="none"/>
          <w:lang w:val="en-US" w:eastAsia="zh-CN"/>
        </w:rPr>
        <w:t>第一节  技术服务需求</w:t>
      </w:r>
    </w:p>
    <w:p>
      <w:pPr>
        <w:pStyle w:val="3"/>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一、项目概况</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服务内容为国家税务总局南宁市青秀区税务局2022年职工食堂食材采购及配送服务，选择一名食材定点供应商在服务有效期内为采购人提供规定范围内的物料，采购人需采购的食堂食材是指其员工食堂烹饪用的食品材料，食材供应包括但不限于：大米、米粉、面制品、食用油、豆制品类、奶制品类、鲜肉类、蔬菜类、禽蛋类、冻品类、鲜活水产品、干杂类、调味品类。</w:t>
      </w:r>
    </w:p>
    <w:p>
      <w:pPr>
        <w:pStyle w:val="2"/>
        <w:rPr>
          <w:rFonts w:hint="eastAsia"/>
          <w:color w:val="auto"/>
          <w:highlight w:val="none"/>
        </w:rPr>
      </w:pPr>
    </w:p>
    <w:p>
      <w:pPr>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二</w:t>
      </w:r>
      <w:r>
        <w:rPr>
          <w:rFonts w:hint="eastAsia" w:asciiTheme="minorEastAsia" w:hAnsiTheme="minorEastAsia" w:eastAsiaTheme="minorEastAsia" w:cstheme="minorEastAsia"/>
          <w:b/>
          <w:color w:val="auto"/>
          <w:sz w:val="24"/>
          <w:szCs w:val="24"/>
          <w:highlight w:val="none"/>
        </w:rPr>
        <w:t>、项目要求</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食材供应商必须确保食材的安全、新鲜、及时、高品质。所提供食材必须符合国家法律、法规、相关行业标准及</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特别注明的要求，涉及食品卫生安全的货物、必须证件齐全（包括但不限于营业执照、食品经营许可证</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产品检验报告及产业相关证件），必须确保食材价格优惠，以质量为导向，同样质量比价格，同样价格选品质，追求质优价廉，原则上不能超过周边超市零售价格。</w:t>
      </w:r>
    </w:p>
    <w:p>
      <w:pPr>
        <w:spacing w:line="360" w:lineRule="auto"/>
        <w:ind w:firstLine="600" w:firstLine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须至少同时经营鲜肉制品、水（海）产品、干杂、农副产品（仅限初级农产品）等四项食品材料，以营业执照注册登记所记载事项</w:t>
      </w:r>
      <w:r>
        <w:rPr>
          <w:rFonts w:hint="eastAsia" w:asciiTheme="minorEastAsia" w:hAnsiTheme="minorEastAsia" w:eastAsiaTheme="minorEastAsia" w:cstheme="minorEastAsia"/>
          <w:color w:val="auto"/>
          <w:sz w:val="24"/>
          <w:szCs w:val="24"/>
          <w:highlight w:val="none"/>
          <w:lang w:val="en-US" w:eastAsia="zh-CN"/>
        </w:rPr>
        <w:t>或食品经营许可证的经营项目记载</w:t>
      </w:r>
      <w:r>
        <w:rPr>
          <w:rFonts w:hint="eastAsia" w:asciiTheme="minorEastAsia" w:hAnsiTheme="minorEastAsia" w:eastAsiaTheme="minorEastAsia" w:cstheme="minorEastAsia"/>
          <w:color w:val="auto"/>
          <w:sz w:val="24"/>
          <w:szCs w:val="24"/>
          <w:highlight w:val="none"/>
        </w:rPr>
        <w:t>为依据。</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.2 具有保证食品卫生安全和质量的能力，货源供应长期充足、稳定、安全、可靠。</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.3 配送的肉类具有地方食品卫生部门出具的动物检验合格证明，必须提供近期6个月内动物检验合格证明。</w:t>
      </w:r>
    </w:p>
    <w:p>
      <w:pPr>
        <w:spacing w:after="0"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.4配送的蔬果类具有农药残留检测证明。</w:t>
      </w:r>
    </w:p>
    <w:p>
      <w:pPr>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.5 配送企业设有标准化食品检验室并配备食品安全检验设备设施，能对供应的蔬菜类等食品关键性安全指标进行快速检测。</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.6配送企业建立食品进货查验记录制度，能如实记录食品的名称、规格、数量、生产批号、保质期、供货者名称及联系方式、进货日期等详细内容。</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.7配备有专职或兼职的检测人员。</w:t>
      </w:r>
    </w:p>
    <w:p>
      <w:pPr>
        <w:pStyle w:val="2"/>
        <w:rPr>
          <w:rFonts w:hint="eastAsia"/>
          <w:color w:val="auto"/>
          <w:highlight w:val="none"/>
        </w:rPr>
      </w:pPr>
    </w:p>
    <w:p>
      <w:pPr>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三</w:t>
      </w:r>
      <w:r>
        <w:rPr>
          <w:rFonts w:hint="eastAsia" w:asciiTheme="minorEastAsia" w:hAnsiTheme="minorEastAsia" w:eastAsiaTheme="minorEastAsia" w:cstheme="minorEastAsia"/>
          <w:b/>
          <w:color w:val="auto"/>
          <w:sz w:val="24"/>
          <w:szCs w:val="24"/>
          <w:highlight w:val="none"/>
        </w:rPr>
        <w:t>、服务要求</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.1 一般供货要求：</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根据实际需要，列出一份次日需要补充采购的食品请购清单，在收到</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请购清单后，供货方最迟须于次日上午9：00将所需食材运送至指定地点。</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.2 紧急供货要求：在收到</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发出紧急供货通知后，供方最迟2小时内完成当次现场供货。</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.3 供应商必须按照</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食堂采购人员通知的时间、数量、品种、品质要求及协定的价格准时送货，不能以任何理由推托</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服务期间供应商如出现1次</w:t>
      </w:r>
      <w:r>
        <w:rPr>
          <w:rFonts w:hint="eastAsia" w:asciiTheme="minorEastAsia" w:hAnsiTheme="minorEastAsia" w:eastAsiaTheme="minorEastAsia" w:cstheme="minorEastAsia"/>
          <w:color w:val="auto"/>
          <w:sz w:val="24"/>
          <w:szCs w:val="24"/>
          <w:highlight w:val="none"/>
        </w:rPr>
        <w:t>影响到</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食堂的正常运转的，</w:t>
      </w:r>
      <w:r>
        <w:rPr>
          <w:rFonts w:hint="eastAsia" w:asciiTheme="minorEastAsia" w:hAnsiTheme="minorEastAsia" w:eastAsiaTheme="minorEastAsia" w:cstheme="minorEastAsia"/>
          <w:color w:val="auto"/>
          <w:sz w:val="24"/>
          <w:szCs w:val="24"/>
          <w:highlight w:val="none"/>
          <w:lang w:val="en-US" w:eastAsia="zh-CN"/>
        </w:rPr>
        <w:t>采购人每次</w:t>
      </w:r>
      <w:r>
        <w:rPr>
          <w:rFonts w:hint="eastAsia" w:asciiTheme="minorEastAsia" w:hAnsiTheme="minorEastAsia" w:eastAsiaTheme="minorEastAsia" w:cstheme="minorEastAsia"/>
          <w:color w:val="auto"/>
          <w:sz w:val="24"/>
          <w:szCs w:val="24"/>
          <w:highlight w:val="none"/>
        </w:rPr>
        <w:t>将</w:t>
      </w:r>
      <w:r>
        <w:rPr>
          <w:rFonts w:hint="eastAsia" w:asciiTheme="minorEastAsia" w:hAnsiTheme="minorEastAsia" w:eastAsiaTheme="minorEastAsia" w:cstheme="minorEastAsia"/>
          <w:color w:val="auto"/>
          <w:sz w:val="24"/>
          <w:szCs w:val="24"/>
          <w:highlight w:val="none"/>
          <w:lang w:val="en-US" w:eastAsia="zh-CN"/>
        </w:rPr>
        <w:t>扣除</w:t>
      </w:r>
      <w:r>
        <w:rPr>
          <w:rFonts w:hint="eastAsia" w:asciiTheme="minorEastAsia" w:hAnsiTheme="minorEastAsia" w:eastAsiaTheme="minorEastAsia" w:cstheme="minorEastAsia"/>
          <w:color w:val="auto"/>
          <w:sz w:val="24"/>
          <w:szCs w:val="24"/>
          <w:highlight w:val="none"/>
        </w:rPr>
        <w:t>履约保证金</w:t>
      </w:r>
      <w:r>
        <w:rPr>
          <w:rFonts w:hint="eastAsia" w:asciiTheme="minorEastAsia" w:hAnsiTheme="minorEastAsia" w:eastAsiaTheme="minorEastAsia" w:cstheme="minorEastAsia"/>
          <w:color w:val="auto"/>
          <w:sz w:val="24"/>
          <w:szCs w:val="24"/>
          <w:highlight w:val="none"/>
          <w:lang w:val="en-US" w:eastAsia="zh-CN"/>
        </w:rPr>
        <w:t>2000元</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服务期间供应商如出现3次</w:t>
      </w:r>
      <w:r>
        <w:rPr>
          <w:rFonts w:hint="eastAsia" w:asciiTheme="minorEastAsia" w:hAnsiTheme="minorEastAsia" w:eastAsiaTheme="minorEastAsia" w:cstheme="minorEastAsia"/>
          <w:color w:val="auto"/>
          <w:sz w:val="24"/>
          <w:szCs w:val="24"/>
          <w:highlight w:val="none"/>
        </w:rPr>
        <w:t>影响到</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食堂的正常运转的，采购人有权解除采购合同并没收</w:t>
      </w:r>
      <w:r>
        <w:rPr>
          <w:rFonts w:hint="eastAsia" w:asciiTheme="minorEastAsia" w:hAnsiTheme="minorEastAsia" w:eastAsiaTheme="minorEastAsia" w:cstheme="minorEastAsia"/>
          <w:color w:val="auto"/>
          <w:sz w:val="24"/>
          <w:szCs w:val="24"/>
          <w:highlight w:val="none"/>
          <w:lang w:val="en-US" w:eastAsia="zh-CN"/>
        </w:rPr>
        <w:t>全部</w:t>
      </w:r>
      <w:r>
        <w:rPr>
          <w:rFonts w:hint="eastAsia" w:asciiTheme="minorEastAsia" w:hAnsiTheme="minorEastAsia" w:eastAsiaTheme="minorEastAsia" w:cstheme="minorEastAsia"/>
          <w:color w:val="auto"/>
          <w:sz w:val="24"/>
          <w:szCs w:val="24"/>
          <w:highlight w:val="none"/>
        </w:rPr>
        <w:t>履约保证金，由此产生的一切损失及费用均由供货商承担。</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.4 供应商不能满足供货要求时，应提前1个月通知</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同意后方可</w:t>
      </w:r>
      <w:r>
        <w:rPr>
          <w:rFonts w:hint="eastAsia" w:asciiTheme="minorEastAsia" w:hAnsiTheme="minorEastAsia" w:eastAsiaTheme="minorEastAsia" w:cstheme="minorEastAsia"/>
          <w:color w:val="auto"/>
          <w:sz w:val="24"/>
          <w:szCs w:val="24"/>
          <w:highlight w:val="none"/>
          <w:lang w:val="en-US" w:eastAsia="zh-CN"/>
        </w:rPr>
        <w:t>终止</w:t>
      </w:r>
      <w:r>
        <w:rPr>
          <w:rFonts w:hint="eastAsia" w:asciiTheme="minorEastAsia" w:hAnsiTheme="minorEastAsia" w:eastAsiaTheme="minorEastAsia" w:cstheme="minorEastAsia"/>
          <w:color w:val="auto"/>
          <w:sz w:val="24"/>
          <w:szCs w:val="24"/>
          <w:highlight w:val="none"/>
        </w:rPr>
        <w:t>合同。</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.5 送货地点：南宁市望园路19号国家税务总局南宁市青秀区税务局职工食堂。</w:t>
      </w:r>
    </w:p>
    <w:p>
      <w:pPr>
        <w:spacing w:line="360" w:lineRule="auto"/>
        <w:rPr>
          <w:rFonts w:hint="eastAsia" w:asciiTheme="minorEastAsia" w:hAnsiTheme="minorEastAsia" w:eastAsiaTheme="minorEastAsia" w:cstheme="minorEastAsia"/>
          <w:b/>
          <w:color w:val="auto"/>
          <w:sz w:val="24"/>
          <w:szCs w:val="24"/>
          <w:highlight w:val="none"/>
        </w:rPr>
      </w:pPr>
    </w:p>
    <w:p>
      <w:pPr>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四</w:t>
      </w:r>
      <w:r>
        <w:rPr>
          <w:rFonts w:hint="eastAsia" w:asciiTheme="minorEastAsia" w:hAnsiTheme="minorEastAsia" w:eastAsiaTheme="minorEastAsia" w:cstheme="minorEastAsia"/>
          <w:b/>
          <w:color w:val="auto"/>
          <w:sz w:val="24"/>
          <w:szCs w:val="24"/>
          <w:highlight w:val="none"/>
        </w:rPr>
        <w:t>、物料的验收</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.1 食材验收由</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和供应商共同进行。供应商提供的产品除了国家食品安全标准和质量检验检疫合格标准外，还须经过</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的食堂验收人员感官检验、外观检验和试用检验，若产品外观、包装、形式不符合要求、感官检验、试用检验不能达到食品卫生要求，采购人有权当即拒收；供应商不能满足食品的质、量及售后服务要求时，</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有权进行解除或终止合同。</w:t>
      </w:r>
    </w:p>
    <w:p>
      <w:pPr>
        <w:spacing w:line="360" w:lineRule="auto"/>
        <w:ind w:firstLine="480" w:firstLineChars="200"/>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.2 验收工作的一般程序为：根据食品请购清单的具体要求，对所购物料进行清点、外观检查以及对物料的各项指标和性能进行实测，并逐项记录。检测结束后，验收人员在验收单上签字。对未能通过验收的，一律退货、更换直至验收合格。</w:t>
      </w:r>
      <w:r>
        <w:rPr>
          <w:rFonts w:hint="eastAsia" w:asciiTheme="minorEastAsia" w:hAnsiTheme="minorEastAsia" w:eastAsiaTheme="minorEastAsia" w:cstheme="minorEastAsia"/>
          <w:b/>
          <w:bCs/>
          <w:color w:val="auto"/>
          <w:sz w:val="24"/>
          <w:szCs w:val="24"/>
          <w:highlight w:val="none"/>
          <w:lang w:val="en-US" w:eastAsia="zh-CN"/>
        </w:rPr>
        <w:t>甲方验收只是对食物的数量、外观、色泽、气味等方面进行查验，如食品不符合安全检验检疫及对人体健康有不良影响或损伤的，乙方应当承担损害赔偿责任。</w:t>
      </w:r>
    </w:p>
    <w:p>
      <w:pPr>
        <w:spacing w:line="360" w:lineRule="auto"/>
        <w:rPr>
          <w:rFonts w:hint="eastAsia" w:asciiTheme="minorEastAsia" w:hAnsiTheme="minorEastAsia" w:eastAsiaTheme="minorEastAsia" w:cstheme="minorEastAsia"/>
          <w:b/>
          <w:color w:val="auto"/>
          <w:sz w:val="24"/>
          <w:szCs w:val="24"/>
          <w:highlight w:val="none"/>
        </w:rPr>
      </w:pPr>
    </w:p>
    <w:p>
      <w:pPr>
        <w:spacing w:line="360" w:lineRule="auto"/>
        <w:rPr>
          <w:rFonts w:hint="eastAsia" w:asciiTheme="minorEastAsia" w:hAnsiTheme="minorEastAsia" w:eastAsiaTheme="minorEastAsia" w:cstheme="minorEastAsia"/>
          <w:b/>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lang w:val="en-US" w:eastAsia="zh-CN"/>
        </w:rPr>
        <w:t>五</w:t>
      </w:r>
      <w:r>
        <w:rPr>
          <w:rFonts w:hint="eastAsia" w:asciiTheme="minorEastAsia" w:hAnsiTheme="minorEastAsia" w:eastAsiaTheme="minorEastAsia" w:cstheme="minorEastAsia"/>
          <w:b/>
          <w:color w:val="auto"/>
          <w:sz w:val="24"/>
          <w:szCs w:val="24"/>
          <w:highlight w:val="none"/>
        </w:rPr>
        <w:t>、供应商工作人员要求</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.1 必须有3名以上（含3名）正式员工办理有健康证明</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响应文件中需提供人员身份证复印件、</w:t>
      </w:r>
      <w:r>
        <w:rPr>
          <w:rFonts w:hint="eastAsia" w:asciiTheme="minorEastAsia" w:hAnsiTheme="minorEastAsia" w:eastAsiaTheme="minorEastAsia" w:cstheme="minorEastAsia"/>
          <w:color w:val="auto"/>
          <w:sz w:val="24"/>
          <w:szCs w:val="24"/>
          <w:highlight w:val="none"/>
        </w:rPr>
        <w:t>健康证明</w:t>
      </w:r>
      <w:r>
        <w:rPr>
          <w:rFonts w:hint="eastAsia" w:asciiTheme="minorEastAsia" w:hAnsiTheme="minorEastAsia" w:eastAsiaTheme="minorEastAsia" w:cstheme="minorEastAsia"/>
          <w:color w:val="auto"/>
          <w:sz w:val="24"/>
          <w:szCs w:val="24"/>
          <w:highlight w:val="none"/>
          <w:lang w:val="en-US" w:eastAsia="zh-CN"/>
        </w:rPr>
        <w:t>复印件、供应商与其签订的有效劳动合同复印件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.2 必须有3人以上（含3名）正式员工具有食品安全培训合格证</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响应文件中需提供人员身份证复印件、</w:t>
      </w:r>
      <w:r>
        <w:rPr>
          <w:rFonts w:hint="eastAsia" w:asciiTheme="minorEastAsia" w:hAnsiTheme="minorEastAsia" w:eastAsiaTheme="minorEastAsia" w:cstheme="minorEastAsia"/>
          <w:color w:val="auto"/>
          <w:sz w:val="24"/>
          <w:szCs w:val="24"/>
          <w:highlight w:val="none"/>
        </w:rPr>
        <w:t>食品安全培训合格证</w:t>
      </w:r>
      <w:r>
        <w:rPr>
          <w:rFonts w:hint="eastAsia" w:asciiTheme="minorEastAsia" w:hAnsiTheme="minorEastAsia" w:eastAsiaTheme="minorEastAsia" w:cstheme="minorEastAsia"/>
          <w:color w:val="auto"/>
          <w:sz w:val="24"/>
          <w:szCs w:val="24"/>
          <w:highlight w:val="none"/>
          <w:lang w:val="en-US" w:eastAsia="zh-CN"/>
        </w:rPr>
        <w:t>复印件、供应商与其签订的有效劳动合同复印件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w:t>
      </w:r>
    </w:p>
    <w:p>
      <w:pPr>
        <w:spacing w:line="360" w:lineRule="auto"/>
        <w:rPr>
          <w:rFonts w:hint="eastAsia" w:asciiTheme="minorEastAsia" w:hAnsiTheme="minorEastAsia" w:eastAsiaTheme="minorEastAsia" w:cstheme="minorEastAsia"/>
          <w:b/>
          <w:color w:val="auto"/>
          <w:sz w:val="24"/>
          <w:szCs w:val="24"/>
          <w:highlight w:val="none"/>
          <w:lang w:val="en-US" w:eastAsia="zh-CN"/>
        </w:rPr>
      </w:pPr>
    </w:p>
    <w:p>
      <w:pPr>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六</w:t>
      </w:r>
      <w:r>
        <w:rPr>
          <w:rFonts w:hint="eastAsia" w:asciiTheme="minorEastAsia" w:hAnsiTheme="minorEastAsia" w:eastAsiaTheme="minorEastAsia" w:cstheme="minorEastAsia"/>
          <w:b/>
          <w:color w:val="auto"/>
          <w:sz w:val="24"/>
          <w:szCs w:val="24"/>
          <w:highlight w:val="none"/>
        </w:rPr>
        <w:t>、安全质量</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 依据产品质量监督检验所提供的质量标准，供应商提供的产品必须是经过质量监督管理部门检验并取得合格证明的产品，每批次产品提供时应交存货物质量合格证明、产品质量检测合格报告或检疫报告复印件。大米、花生油、面粉必须符合国家食品安全标准，并拥有SC(食品生产许可证)编号；新鲜猪肉、新鲜牛肉、新鲜或冰冻鸡鸭、鸡副产品必须具有动物检验检疫证明。糖、味精、酱油、醋、生粉、奶制品必须具有SC(食品生产许可证)编号。</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.2供应商应严格遵守</w:t>
      </w:r>
      <w:r>
        <w:rPr>
          <w:rFonts w:hint="eastAsia" w:ascii="宋体" w:hAnsi="宋体"/>
          <w:color w:val="auto"/>
          <w:sz w:val="24"/>
          <w:highlight w:val="none"/>
        </w:rPr>
        <w:t>《中华人民共和国食品安全法》</w:t>
      </w:r>
      <w:r>
        <w:rPr>
          <w:rFonts w:hint="eastAsia" w:asciiTheme="minorEastAsia" w:hAnsiTheme="minorEastAsia" w:eastAsiaTheme="minorEastAsia" w:cstheme="minorEastAsia"/>
          <w:color w:val="auto"/>
          <w:sz w:val="24"/>
          <w:szCs w:val="24"/>
          <w:highlight w:val="none"/>
        </w:rPr>
        <w:t>和《中华人民共和国动物防疫法》等相关规定，所提供的产品是合格安全的产品，一经发现供应以下食品，</w:t>
      </w:r>
      <w:r>
        <w:rPr>
          <w:rFonts w:hint="eastAsia" w:asciiTheme="minorEastAsia" w:hAnsiTheme="minorEastAsia" w:eastAsiaTheme="minorEastAsia" w:cstheme="minorEastAsia"/>
          <w:color w:val="auto"/>
          <w:sz w:val="24"/>
          <w:szCs w:val="24"/>
          <w:highlight w:val="none"/>
          <w:lang w:eastAsia="zh-CN"/>
        </w:rPr>
        <w:t>采购人</w:t>
      </w:r>
      <w:r>
        <w:rPr>
          <w:rFonts w:hint="eastAsia" w:asciiTheme="minorEastAsia" w:hAnsiTheme="minorEastAsia" w:eastAsiaTheme="minorEastAsia" w:cstheme="minorEastAsia"/>
          <w:color w:val="auto"/>
          <w:sz w:val="24"/>
          <w:szCs w:val="24"/>
          <w:highlight w:val="none"/>
        </w:rPr>
        <w:t>除全部退货外，将立取消供货单位的供货资格，没收全部履约保证金，供应商并承担由此造成的经济责任和法律责任。</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.2.1 腐败变质、油脂酸败、霉变、生虫、污秽不洁、混有异物或者其他感官性状异常，对人体健康有害的；</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.2.2 含有毒、有害物质或者被有害物质污染，对人体健康有害的；</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.2.3 含有致病性寄生虫、微生物或者微生物含量超过国家限定标准的；</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.2.4 未经动物检疫部门检疫、检验或者检疫、检验不合格的肉类及其制品；</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.2.5 病死、毒死或者死因不明的禽、畜、兽、水产动物等及其制品；</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.2.6 掺假、掺杂、伪造，影响营养、卫生的；</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.2.7 用非食品原料加工的，加入非食品用化学物质或者将非食品当作食品的；</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.2.8 超过保质期限的。</w:t>
      </w:r>
    </w:p>
    <w:p>
      <w:pPr>
        <w:spacing w:line="360" w:lineRule="auto"/>
        <w:ind w:firstLine="482" w:firstLineChars="200"/>
        <w:rPr>
          <w:rFonts w:hint="eastAsia" w:asciiTheme="minorEastAsia" w:hAnsiTheme="minorEastAsia" w:eastAsiaTheme="minorEastAsia" w:cstheme="minorEastAsia"/>
          <w:b/>
          <w:color w:val="auto"/>
          <w:sz w:val="24"/>
          <w:szCs w:val="24"/>
          <w:highlight w:val="none"/>
        </w:rPr>
      </w:pPr>
    </w:p>
    <w:p>
      <w:pPr>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七</w:t>
      </w:r>
      <w:r>
        <w:rPr>
          <w:rFonts w:hint="eastAsia" w:asciiTheme="minorEastAsia" w:hAnsiTheme="minorEastAsia" w:eastAsiaTheme="minorEastAsia" w:cstheme="minorEastAsia"/>
          <w:b/>
          <w:color w:val="auto"/>
          <w:sz w:val="24"/>
          <w:szCs w:val="24"/>
          <w:highlight w:val="none"/>
        </w:rPr>
        <w:t>、配送食材</w:t>
      </w:r>
    </w:p>
    <w:tbl>
      <w:tblPr>
        <w:tblStyle w:val="4"/>
        <w:tblW w:w="9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745"/>
        <w:gridCol w:w="1410"/>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98" w:type="dxa"/>
            <w:noWrap w:val="0"/>
            <w:vAlign w:val="center"/>
          </w:tcPr>
          <w:p>
            <w:pPr>
              <w:spacing w:after="0" w:line="36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内容</w:t>
            </w:r>
          </w:p>
        </w:tc>
        <w:tc>
          <w:tcPr>
            <w:tcW w:w="2745" w:type="dxa"/>
            <w:noWrap w:val="0"/>
            <w:vAlign w:val="center"/>
          </w:tcPr>
          <w:p>
            <w:pPr>
              <w:spacing w:after="0" w:line="36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执行标准</w:t>
            </w:r>
          </w:p>
        </w:tc>
        <w:tc>
          <w:tcPr>
            <w:tcW w:w="1410" w:type="dxa"/>
            <w:noWrap w:val="0"/>
            <w:vAlign w:val="center"/>
          </w:tcPr>
          <w:p>
            <w:pPr>
              <w:spacing w:after="0" w:line="36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规格</w:t>
            </w:r>
          </w:p>
        </w:tc>
        <w:tc>
          <w:tcPr>
            <w:tcW w:w="3945" w:type="dxa"/>
            <w:noWrap w:val="0"/>
            <w:vAlign w:val="center"/>
          </w:tcPr>
          <w:p>
            <w:pPr>
              <w:spacing w:after="0" w:line="36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8"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大米、米粉、面制品、食用油、豆制品类、奶制品类</w:t>
            </w:r>
          </w:p>
        </w:tc>
        <w:tc>
          <w:tcPr>
            <w:tcW w:w="2745"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大米一级（符合GB/T 1354-2018</w:t>
            </w:r>
            <w:r>
              <w:rPr>
                <w:rFonts w:hint="eastAsia" w:asciiTheme="minorEastAsia" w:hAnsiTheme="minorEastAsia" w:eastAsiaTheme="minorEastAsia" w:cstheme="minorEastAsia"/>
                <w:color w:val="auto"/>
                <w:sz w:val="24"/>
                <w:szCs w:val="24"/>
                <w:highlight w:val="none"/>
                <w:lang w:val="en-US" w:eastAsia="zh-CN"/>
              </w:rPr>
              <w:t>大米</w:t>
            </w:r>
            <w:r>
              <w:rPr>
                <w:rFonts w:hint="eastAsia" w:asciiTheme="minorEastAsia" w:hAnsiTheme="minorEastAsia" w:eastAsiaTheme="minorEastAsia" w:cstheme="minorEastAsia"/>
                <w:color w:val="auto"/>
                <w:sz w:val="24"/>
                <w:szCs w:val="24"/>
                <w:highlight w:val="none"/>
              </w:rPr>
              <w:t>标准）;食用油一级（符合GB/T 1534-2017</w:t>
            </w:r>
            <w:r>
              <w:rPr>
                <w:rFonts w:hint="eastAsia" w:asciiTheme="minorEastAsia" w:hAnsiTheme="minorEastAsia" w:eastAsiaTheme="minorEastAsia" w:cstheme="minorEastAsia"/>
                <w:color w:val="auto"/>
                <w:sz w:val="24"/>
                <w:szCs w:val="24"/>
                <w:highlight w:val="none"/>
                <w:lang w:val="en-US" w:eastAsia="zh-CN"/>
              </w:rPr>
              <w:t>花生油</w:t>
            </w:r>
            <w:r>
              <w:rPr>
                <w:rFonts w:hint="eastAsia" w:asciiTheme="minorEastAsia" w:hAnsiTheme="minorEastAsia" w:eastAsiaTheme="minorEastAsia" w:cstheme="minorEastAsia"/>
                <w:color w:val="auto"/>
                <w:sz w:val="24"/>
                <w:szCs w:val="24"/>
                <w:highlight w:val="none"/>
              </w:rPr>
              <w:t>标准）;非发酵豆制品以及面筋（符合GB 1355-1986 标准）</w:t>
            </w:r>
          </w:p>
        </w:tc>
        <w:tc>
          <w:tcPr>
            <w:tcW w:w="1410"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大米25kg/袋；</w:t>
            </w:r>
          </w:p>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食用油10L /桶</w:t>
            </w:r>
          </w:p>
        </w:tc>
        <w:tc>
          <w:tcPr>
            <w:tcW w:w="3945" w:type="dxa"/>
            <w:noWrap w:val="0"/>
            <w:vAlign w:val="top"/>
          </w:tcPr>
          <w:p>
            <w:pPr>
              <w:spacing w:after="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具有SC(食品生产许可证)编号；2.保证新鲜且符合食品安全法要求；3.大米和食用油要供应市场上普通流通的品种，质量和价格有比价；4.包装用密封性能好，无毒、无害塑料编织袋，完整无损，包装的正面印有供货企业名称、联系电话以及生产日期等字样，在保质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trPr>
        <w:tc>
          <w:tcPr>
            <w:tcW w:w="1498"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鲜肉类</w:t>
            </w:r>
          </w:p>
        </w:tc>
        <w:tc>
          <w:tcPr>
            <w:tcW w:w="2745"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鲜肉类（猪肉类等）</w:t>
            </w:r>
          </w:p>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（符合GB/T 9959.1-2019标准）</w:t>
            </w:r>
          </w:p>
        </w:tc>
        <w:tc>
          <w:tcPr>
            <w:tcW w:w="1410"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按需提供批次</w:t>
            </w:r>
          </w:p>
        </w:tc>
        <w:tc>
          <w:tcPr>
            <w:tcW w:w="3945" w:type="dxa"/>
            <w:noWrap w:val="0"/>
            <w:vAlign w:val="top"/>
          </w:tcPr>
          <w:p>
            <w:pPr>
              <w:spacing w:after="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1.生猪等定点、当日屠宰，同时屠宰证（猪肉类必须提供）齐全，提供动物检验检疫合格证明；2.肉制品，具有动物检验检疫合格证明、SC(食品生产许可证)编号，来自非疫区。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1498"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蔬菜类、禽蛋类</w:t>
            </w:r>
          </w:p>
        </w:tc>
        <w:tc>
          <w:tcPr>
            <w:tcW w:w="2745"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蔬菜类、禽蛋类执行国家标准</w:t>
            </w:r>
          </w:p>
        </w:tc>
        <w:tc>
          <w:tcPr>
            <w:tcW w:w="1410"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按需提供批次</w:t>
            </w:r>
          </w:p>
        </w:tc>
        <w:tc>
          <w:tcPr>
            <w:tcW w:w="3945" w:type="dxa"/>
            <w:noWrap w:val="0"/>
            <w:vAlign w:val="top"/>
          </w:tcPr>
          <w:p>
            <w:pPr>
              <w:spacing w:after="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 蔬菜类:保证新鲜并通过农药残留成分检测，且符合现行国家食品安全法要求；2. 禽蛋类：新鲜、无变质，来自非疫区。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8"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冻品类</w:t>
            </w:r>
          </w:p>
        </w:tc>
        <w:tc>
          <w:tcPr>
            <w:tcW w:w="2745"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鲜冻禽产品</w:t>
            </w:r>
          </w:p>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（GB</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16869-2005）</w:t>
            </w:r>
          </w:p>
        </w:tc>
        <w:tc>
          <w:tcPr>
            <w:tcW w:w="1410"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按需提供批次</w:t>
            </w:r>
          </w:p>
        </w:tc>
        <w:tc>
          <w:tcPr>
            <w:tcW w:w="3945" w:type="dxa"/>
            <w:noWrap w:val="0"/>
            <w:vAlign w:val="top"/>
          </w:tcPr>
          <w:p>
            <w:pPr>
              <w:spacing w:after="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1.具有SC(食品生产许可证)编号；2.品质良好、包装完好。无异味、无病毒，有生产日期和保质期，且在保质期内，来自非疫区。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8"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鲜活水产品</w:t>
            </w:r>
          </w:p>
        </w:tc>
        <w:tc>
          <w:tcPr>
            <w:tcW w:w="2745"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鲜活水产品执行标准</w:t>
            </w:r>
          </w:p>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（GB</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2733-2015）</w:t>
            </w:r>
          </w:p>
        </w:tc>
        <w:tc>
          <w:tcPr>
            <w:tcW w:w="1410"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按需提供批次</w:t>
            </w:r>
          </w:p>
        </w:tc>
        <w:tc>
          <w:tcPr>
            <w:tcW w:w="3945" w:type="dxa"/>
            <w:noWrap w:val="0"/>
            <w:vAlign w:val="top"/>
          </w:tcPr>
          <w:p>
            <w:pPr>
              <w:spacing w:after="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1.新鲜、无病毒、不含有害物质，禁止采购来自受污染的海、江河、湖泊等水域的水产品；2.如需剖杀的鱼类，要做到鱼鳞刮除干净，去内脏，鱼鳃、腹内黑膜，来自非疫区。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8"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干杂</w:t>
            </w:r>
          </w:p>
        </w:tc>
        <w:tc>
          <w:tcPr>
            <w:tcW w:w="2745"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干杂执行标准（GB16325-2005）</w:t>
            </w:r>
          </w:p>
        </w:tc>
        <w:tc>
          <w:tcPr>
            <w:tcW w:w="1410"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按需提供批次</w:t>
            </w:r>
          </w:p>
        </w:tc>
        <w:tc>
          <w:tcPr>
            <w:tcW w:w="3945" w:type="dxa"/>
            <w:noWrap w:val="0"/>
            <w:vAlign w:val="top"/>
          </w:tcPr>
          <w:p>
            <w:pPr>
              <w:spacing w:after="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1.具有SC(食品生产许可证)编号；2. 品质良好，包装完好、产品在保质期内；3.无发霉变质。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trPr>
        <w:tc>
          <w:tcPr>
            <w:tcW w:w="1498"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调味品</w:t>
            </w:r>
          </w:p>
        </w:tc>
        <w:tc>
          <w:tcPr>
            <w:tcW w:w="2745"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调味品执行标准</w:t>
            </w:r>
          </w:p>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（GB</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2717-2018）</w:t>
            </w:r>
          </w:p>
        </w:tc>
        <w:tc>
          <w:tcPr>
            <w:tcW w:w="1410" w:type="dxa"/>
            <w:noWrap w:val="0"/>
            <w:vAlign w:val="top"/>
          </w:tcPr>
          <w:p>
            <w:pPr>
              <w:spacing w:after="0"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按需提供批次</w:t>
            </w:r>
          </w:p>
        </w:tc>
        <w:tc>
          <w:tcPr>
            <w:tcW w:w="3945" w:type="dxa"/>
            <w:noWrap w:val="0"/>
            <w:vAlign w:val="top"/>
          </w:tcPr>
          <w:p>
            <w:pPr>
              <w:spacing w:after="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1.具有SC(食品生产许可证)编号，符合国家计量法规格要求；2.正规厂商生产，须满足国家食品安全的相关标准，包装完好、产品在保质期内且生产日期新近。</w:t>
            </w:r>
          </w:p>
        </w:tc>
      </w:tr>
    </w:tbl>
    <w:p>
      <w:pPr>
        <w:spacing w:line="360" w:lineRule="auto"/>
        <w:rPr>
          <w:rFonts w:hint="default" w:asciiTheme="minorEastAsia" w:hAnsiTheme="minorEastAsia" w:eastAsiaTheme="minorEastAsia" w:cstheme="minorEastAsia"/>
          <w:b/>
          <w:color w:val="auto"/>
          <w:sz w:val="24"/>
          <w:szCs w:val="24"/>
          <w:highlight w:val="none"/>
          <w:lang w:val="en-US"/>
        </w:rPr>
      </w:pPr>
    </w:p>
    <w:p>
      <w:pPr>
        <w:spacing w:line="480" w:lineRule="exact"/>
        <w:rPr>
          <w:rFonts w:hint="eastAsia" w:ascii="仿宋_GB2312" w:eastAsia="仿宋_GB2312"/>
          <w:color w:val="auto"/>
          <w:sz w:val="30"/>
          <w:szCs w:val="30"/>
          <w:highlight w:val="none"/>
        </w:rPr>
      </w:pPr>
    </w:p>
    <w:p>
      <w:pPr>
        <w:pStyle w:val="6"/>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 xml:space="preserve">    </w:t>
      </w:r>
    </w:p>
    <w:p>
      <w:pPr>
        <w:pStyle w:val="6"/>
        <w:jc w:val="center"/>
        <w:rPr>
          <w:rFonts w:hint="eastAsia" w:asciiTheme="minorEastAsia" w:hAnsiTheme="minorEastAsia" w:eastAsiaTheme="minorEastAsia" w:cstheme="minorEastAsia"/>
          <w:b/>
          <w:bCs/>
          <w:color w:val="auto"/>
          <w:sz w:val="28"/>
          <w:szCs w:val="22"/>
          <w:highlight w:val="none"/>
          <w:lang w:val="en-US" w:eastAsia="zh-CN"/>
        </w:rPr>
      </w:pPr>
      <w:r>
        <w:rPr>
          <w:rFonts w:hint="eastAsia" w:asciiTheme="minorEastAsia" w:hAnsiTheme="minorEastAsia" w:eastAsiaTheme="minorEastAsia" w:cstheme="minorEastAsia"/>
          <w:b/>
          <w:bCs/>
          <w:color w:val="auto"/>
          <w:szCs w:val="21"/>
          <w:highlight w:val="none"/>
        </w:rPr>
        <w:br w:type="page"/>
      </w:r>
      <w:r>
        <w:rPr>
          <w:rFonts w:hint="eastAsia" w:asciiTheme="minorEastAsia" w:hAnsiTheme="minorEastAsia" w:eastAsiaTheme="minorEastAsia" w:cstheme="minorEastAsia"/>
          <w:b/>
          <w:bCs/>
          <w:color w:val="auto"/>
          <w:sz w:val="28"/>
          <w:szCs w:val="22"/>
          <w:highlight w:val="none"/>
          <w:lang w:val="en-US" w:eastAsia="zh-CN"/>
        </w:rPr>
        <w:t>第二节  商务条款要求</w:t>
      </w:r>
    </w:p>
    <w:p>
      <w:pPr>
        <w:pStyle w:val="6"/>
        <w:jc w:val="center"/>
        <w:rPr>
          <w:rFonts w:hint="default" w:asciiTheme="minorEastAsia" w:hAnsiTheme="minorEastAsia" w:eastAsiaTheme="minorEastAsia" w:cstheme="minorEastAsia"/>
          <w:b/>
          <w:bCs/>
          <w:color w:val="auto"/>
          <w:sz w:val="28"/>
          <w:szCs w:val="22"/>
          <w:highlight w:val="none"/>
          <w:lang w:val="en-US" w:eastAsia="zh-CN"/>
        </w:rPr>
      </w:pPr>
    </w:p>
    <w:bookmarkEnd w:id="1"/>
    <w:p>
      <w:pPr>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lang w:val="en-US" w:eastAsia="zh-CN"/>
        </w:rPr>
        <w:t>一、</w:t>
      </w:r>
      <w:r>
        <w:rPr>
          <w:rFonts w:hint="eastAsia" w:asciiTheme="minorEastAsia" w:hAnsiTheme="minorEastAsia" w:eastAsiaTheme="minorEastAsia" w:cstheme="minorEastAsia"/>
          <w:b/>
          <w:bCs/>
          <w:color w:val="auto"/>
          <w:sz w:val="24"/>
          <w:szCs w:val="24"/>
          <w:highlight w:val="none"/>
        </w:rPr>
        <w:t>价格要求</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以月结算货款折扣率进行</w:t>
      </w:r>
      <w:r>
        <w:rPr>
          <w:rFonts w:hint="eastAsia" w:asciiTheme="minorEastAsia" w:hAnsiTheme="minorEastAsia" w:eastAsiaTheme="minorEastAsia" w:cstheme="minorEastAsia"/>
          <w:color w:val="auto"/>
          <w:sz w:val="24"/>
          <w:szCs w:val="24"/>
          <w:highlight w:val="none"/>
          <w:lang w:val="en-US" w:eastAsia="zh-CN"/>
        </w:rPr>
        <w:t>磋商</w:t>
      </w:r>
      <w:r>
        <w:rPr>
          <w:rFonts w:hint="eastAsia" w:asciiTheme="minorEastAsia" w:hAnsiTheme="minorEastAsia" w:eastAsiaTheme="minorEastAsia" w:cstheme="minorEastAsia"/>
          <w:color w:val="auto"/>
          <w:sz w:val="24"/>
          <w:szCs w:val="24"/>
          <w:highlight w:val="none"/>
        </w:rPr>
        <w:t>报价，每月供应食材结算价格＝当月市场实时平均价格×</w:t>
      </w:r>
      <w:r>
        <w:rPr>
          <w:rFonts w:hint="eastAsia" w:asciiTheme="minorEastAsia" w:hAnsiTheme="minorEastAsia" w:eastAsiaTheme="minorEastAsia" w:cstheme="minorEastAsia"/>
          <w:color w:val="auto"/>
          <w:sz w:val="24"/>
          <w:szCs w:val="24"/>
          <w:highlight w:val="none"/>
          <w:lang w:val="en-US" w:eastAsia="zh-CN"/>
        </w:rPr>
        <w:t>成交</w:t>
      </w:r>
      <w:r>
        <w:rPr>
          <w:rFonts w:hint="eastAsia" w:asciiTheme="minorEastAsia" w:hAnsiTheme="minorEastAsia" w:eastAsiaTheme="minorEastAsia" w:cstheme="minorEastAsia"/>
          <w:color w:val="auto"/>
          <w:sz w:val="24"/>
          <w:szCs w:val="24"/>
          <w:highlight w:val="none"/>
        </w:rPr>
        <w:t>人月结算货款折扣率。当月市场实时平均价格的确定方法：当月市场实时平均价格以南宁市物价局、南宁市价格信息网公布的各类食材品种的市场日价格均价为依据，每个月的1号、8号、15号、22号共4天的实时价格的平均价。如果各类品种所购的食材品种不在公布范围，即参考南宁市大型或有代表性的蔬菜批发市场的价格，由采购人以市场调价方式确定。供货价格超出合理范畴，即以采购人市场调价为基础，核定供货价格。每月按照上述实时价格的计价日后第2天向采购人报价，食材价格已包含食材、包装、装卸、运输、加工、保质期内服务、发票等全部费用，采购人无需向供应商再支付任何费用。</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如供货价格超出合理范畴，将以采购人物价监督小组市场调研的价格为标准，核定供货价格。</w:t>
      </w:r>
    </w:p>
    <w:p>
      <w:pPr>
        <w:spacing w:line="360" w:lineRule="auto"/>
        <w:rPr>
          <w:rFonts w:hint="eastAsia" w:ascii="仿宋_GB2312" w:eastAsia="仿宋_GB2312"/>
          <w:color w:val="auto"/>
          <w:sz w:val="30"/>
          <w:szCs w:val="30"/>
          <w:highlight w:val="none"/>
        </w:rPr>
      </w:pPr>
    </w:p>
    <w:p>
      <w:pPr>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二</w:t>
      </w:r>
      <w:r>
        <w:rPr>
          <w:rFonts w:hint="eastAsia" w:asciiTheme="minorEastAsia" w:hAnsiTheme="minorEastAsia" w:eastAsiaTheme="minorEastAsia" w:cstheme="minorEastAsia"/>
          <w:b/>
          <w:color w:val="auto"/>
          <w:sz w:val="24"/>
          <w:szCs w:val="24"/>
          <w:highlight w:val="none"/>
        </w:rPr>
        <w:t>、货款结算</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当月采购的食材货款于次月30日内结清。供应商</w:t>
      </w:r>
      <w:r>
        <w:rPr>
          <w:rFonts w:hint="eastAsia" w:asciiTheme="minorEastAsia" w:hAnsiTheme="minorEastAsia" w:eastAsiaTheme="minorEastAsia" w:cstheme="minorEastAsia"/>
          <w:color w:val="auto"/>
          <w:sz w:val="24"/>
          <w:szCs w:val="24"/>
          <w:highlight w:val="none"/>
        </w:rPr>
        <w:t>必须将各种单据整理核对好，做到表实相符、表表相符，并提供合法有效的发票，按有关程序及时报账。供应商配送食材清单需经食堂验收人员签收、后勤部门负责人核对、审阅同意后，转交财务部门以公对公的形式通过转账支付货款。</w:t>
      </w:r>
    </w:p>
    <w:p>
      <w:pPr>
        <w:pStyle w:val="2"/>
        <w:spacing w:line="360" w:lineRule="auto"/>
        <w:rPr>
          <w:rFonts w:hint="eastAsia" w:asciiTheme="minorEastAsia" w:hAnsiTheme="minorEastAsia" w:eastAsiaTheme="minorEastAsia" w:cstheme="minorEastAsia"/>
          <w:color w:val="auto"/>
          <w:sz w:val="24"/>
          <w:szCs w:val="24"/>
          <w:highlight w:val="none"/>
        </w:rPr>
      </w:pPr>
    </w:p>
    <w:p>
      <w:pPr>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b/>
          <w:color w:val="auto"/>
          <w:sz w:val="24"/>
          <w:szCs w:val="24"/>
          <w:highlight w:val="none"/>
        </w:rPr>
        <w:t>供货期限</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服务期为1年（自2022年3月1日起计）</w:t>
      </w:r>
      <w:r>
        <w:rPr>
          <w:rFonts w:hint="eastAsia" w:asciiTheme="minorEastAsia" w:hAnsiTheme="minorEastAsia" w:eastAsiaTheme="minorEastAsia" w:cstheme="minorEastAsia"/>
          <w:color w:val="auto"/>
          <w:sz w:val="24"/>
          <w:szCs w:val="24"/>
          <w:highlight w:val="none"/>
        </w:rPr>
        <w:t>。</w:t>
      </w:r>
    </w:p>
    <w:p>
      <w:pPr>
        <w:numPr>
          <w:ilvl w:val="0"/>
          <w:numId w:val="0"/>
        </w:numPr>
        <w:spacing w:line="360" w:lineRule="auto"/>
        <w:ind w:firstLine="0" w:firstLineChars="0"/>
        <w:rPr>
          <w:rFonts w:hint="eastAsia" w:asciiTheme="minorEastAsia" w:hAnsiTheme="minorEastAsia" w:eastAsiaTheme="minorEastAsia" w:cstheme="minorEastAsia"/>
          <w:color w:val="auto"/>
          <w:sz w:val="24"/>
          <w:szCs w:val="24"/>
          <w:highlight w:val="none"/>
          <w:lang w:val="en-US" w:eastAsia="zh-CN"/>
        </w:rPr>
      </w:pPr>
    </w:p>
    <w:p>
      <w:pPr>
        <w:numPr>
          <w:ilvl w:val="0"/>
          <w:numId w:val="0"/>
        </w:numPr>
        <w:spacing w:line="360" w:lineRule="auto"/>
        <w:ind w:firstLine="0" w:firstLineChars="0"/>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lang w:val="en-US" w:eastAsia="zh-CN"/>
        </w:rPr>
        <w:t>四、履约保证金</w:t>
      </w:r>
    </w:p>
    <w:p>
      <w:pPr>
        <w:pStyle w:val="2"/>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要求</w:t>
      </w:r>
      <w:r>
        <w:rPr>
          <w:rFonts w:hint="eastAsia" w:asciiTheme="minorEastAsia" w:hAnsiTheme="minorEastAsia" w:eastAsiaTheme="minorEastAsia" w:cstheme="minorEastAsia"/>
          <w:color w:val="auto"/>
          <w:sz w:val="24"/>
          <w:szCs w:val="24"/>
          <w:highlight w:val="none"/>
          <w:lang w:val="en-US" w:eastAsia="zh-CN"/>
        </w:rPr>
        <w:t>成交人</w:t>
      </w:r>
      <w:r>
        <w:rPr>
          <w:rFonts w:hint="eastAsia" w:asciiTheme="minorEastAsia" w:hAnsiTheme="minorEastAsia" w:eastAsiaTheme="minorEastAsia" w:cstheme="minorEastAsia"/>
          <w:color w:val="auto"/>
          <w:sz w:val="24"/>
          <w:szCs w:val="24"/>
          <w:highlight w:val="none"/>
          <w:lang w:eastAsia="zh-CN"/>
        </w:rPr>
        <w:t>提供</w:t>
      </w:r>
      <w:r>
        <w:rPr>
          <w:rFonts w:hint="eastAsia" w:asciiTheme="minorEastAsia" w:hAnsiTheme="minorEastAsia" w:eastAsiaTheme="minorEastAsia" w:cstheme="minorEastAsia"/>
          <w:color w:val="auto"/>
          <w:sz w:val="24"/>
          <w:szCs w:val="24"/>
          <w:highlight w:val="none"/>
          <w:lang w:val="en-US" w:eastAsia="zh-CN"/>
        </w:rPr>
        <w:t>采购预算</w:t>
      </w:r>
      <w:r>
        <w:rPr>
          <w:rFonts w:hint="eastAsia" w:asciiTheme="minorEastAsia" w:hAnsiTheme="minorEastAsia" w:eastAsiaTheme="minorEastAsia" w:cstheme="minorEastAsia"/>
          <w:color w:val="auto"/>
          <w:sz w:val="24"/>
          <w:szCs w:val="24"/>
          <w:highlight w:val="none"/>
          <w:lang w:eastAsia="zh-CN"/>
        </w:rPr>
        <w:t>的</w:t>
      </w:r>
      <w:r>
        <w:rPr>
          <w:rFonts w:hint="eastAsia" w:asciiTheme="minorEastAsia" w:hAnsiTheme="minorEastAsia" w:eastAsiaTheme="minorEastAsia" w:cstheme="minorEastAsia"/>
          <w:color w:val="auto"/>
          <w:sz w:val="24"/>
          <w:szCs w:val="24"/>
          <w:highlight w:val="none"/>
          <w:u w:val="single"/>
          <w:lang w:val="en-US" w:eastAsia="zh-CN"/>
        </w:rPr>
        <w:t>5</w:t>
      </w:r>
      <w:r>
        <w:rPr>
          <w:rFonts w:hint="eastAsia" w:asciiTheme="minorEastAsia" w:hAnsiTheme="minorEastAsia" w:eastAsiaTheme="minorEastAsia" w:cstheme="minorEastAsia"/>
          <w:color w:val="auto"/>
          <w:sz w:val="24"/>
          <w:szCs w:val="24"/>
          <w:highlight w:val="none"/>
          <w:lang w:eastAsia="zh-CN"/>
        </w:rPr>
        <w:t>%（取整到元），提交方式为支票、汇票、本票或者金融机构、担保机构出具的保函等非现金形式，</w:t>
      </w:r>
      <w:r>
        <w:rPr>
          <w:rFonts w:hint="eastAsia" w:asciiTheme="minorEastAsia" w:hAnsiTheme="minorEastAsia" w:eastAsiaTheme="minorEastAsia" w:cstheme="minorEastAsia"/>
          <w:color w:val="auto"/>
          <w:sz w:val="24"/>
          <w:szCs w:val="24"/>
          <w:highlight w:val="none"/>
          <w:lang w:val="en-US" w:eastAsia="zh-CN"/>
        </w:rPr>
        <w:t>成交供应商</w:t>
      </w:r>
      <w:r>
        <w:rPr>
          <w:rFonts w:hint="eastAsia" w:asciiTheme="minorEastAsia" w:hAnsiTheme="minorEastAsia" w:eastAsiaTheme="minorEastAsia" w:cstheme="minorEastAsia"/>
          <w:color w:val="auto"/>
          <w:sz w:val="24"/>
          <w:szCs w:val="24"/>
          <w:highlight w:val="none"/>
          <w:lang w:eastAsia="zh-CN"/>
        </w:rPr>
        <w:t>在签订合同前应提交履约保证金，否则，不予签订合同。采用转账、电汇方式的，由成交供应商在签订合同前按规定的金额从成交供应商银行账户直接缴入采购人账户。</w:t>
      </w:r>
    </w:p>
    <w:p/>
    <w:sectPr>
      <w:pgSz w:w="11906" w:h="16838"/>
      <w:pgMar w:top="1247" w:right="1417" w:bottom="124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93994"/>
    <w:rsid w:val="0A793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5" w:lineRule="auto"/>
      <w:outlineLvl w:val="2"/>
    </w:pPr>
    <w:rPr>
      <w:rFonts w:eastAsia="华文新魏"/>
      <w:b/>
      <w:bCs/>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99"/>
    <w:pPr>
      <w:spacing w:after="120"/>
    </w:pPr>
  </w:style>
  <w:style w:type="paragraph" w:customStyle="1" w:styleId="6">
    <w:name w:val="表格文字"/>
    <w:basedOn w:val="1"/>
    <w:qFormat/>
    <w:uiPriority w:val="99"/>
    <w:pPr>
      <w:spacing w:before="25" w:after="25"/>
      <w:jc w:val="left"/>
    </w:pPr>
    <w:rPr>
      <w:rFonts w:ascii="Times New Roman" w:hAnsi="Times New Roman"/>
      <w:bCs/>
      <w:spacing w:val="1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2022-02-07T07:42:00Z</dcterms:created>
  <dc:creator>KL</dc:creator>
  <cp:lastModifiedBy>KL</cp:lastModifiedBy>
  <dcterms:modified xsi:type="dcterms:W3CDTF">2022-02-07T07:43:02Z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