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eastAsiaTheme="minorEastAsia" w:cstheme="minorEastAsia"/>
          <w:b/>
          <w:color w:val="auto"/>
          <w:sz w:val="28"/>
          <w:szCs w:val="28"/>
          <w:highlight w:val="none"/>
        </w:rPr>
      </w:pPr>
      <w:bookmarkStart w:id="3" w:name="_GoBack"/>
      <w:bookmarkEnd w:id="3"/>
      <w:bookmarkStart w:id="0" w:name="_Toc17978"/>
      <w:r>
        <w:rPr>
          <w:rFonts w:hint="eastAsia" w:asciiTheme="minorEastAsia" w:hAnsiTheme="minorEastAsia" w:eastAsiaTheme="minorEastAsia" w:cstheme="minorEastAsia"/>
          <w:b/>
          <w:color w:val="auto"/>
          <w:sz w:val="28"/>
          <w:szCs w:val="28"/>
          <w:highlight w:val="none"/>
        </w:rPr>
        <w:t>项目采购需求</w:t>
      </w:r>
      <w:bookmarkEnd w:id="0"/>
    </w:p>
    <w:p>
      <w:pPr>
        <w:spacing w:line="360" w:lineRule="auto"/>
        <w:ind w:firstLine="422" w:firstLineChars="200"/>
        <w:rPr>
          <w:rFonts w:hint="eastAsia" w:asciiTheme="minorEastAsia" w:hAnsiTheme="minorEastAsia" w:eastAsiaTheme="minorEastAsia" w:cstheme="minorEastAsia"/>
          <w:b/>
          <w:bCs/>
          <w:color w:val="auto"/>
          <w:szCs w:val="21"/>
          <w:highlight w:val="none"/>
          <w:lang w:eastAsia="zh-CN"/>
        </w:rPr>
      </w:pPr>
      <w:bookmarkStart w:id="1" w:name="_Toc457576272"/>
      <w:r>
        <w:rPr>
          <w:rFonts w:hint="eastAsia" w:asciiTheme="minorEastAsia" w:hAnsiTheme="minorEastAsia" w:eastAsiaTheme="minorEastAsia" w:cstheme="minorEastAsia"/>
          <w:b/>
          <w:bCs/>
          <w:color w:val="auto"/>
          <w:szCs w:val="21"/>
          <w:highlight w:val="none"/>
        </w:rPr>
        <w:t>说明：采购内容所属行业：</w:t>
      </w:r>
      <w:r>
        <w:rPr>
          <w:rFonts w:hint="eastAsia" w:asciiTheme="minorEastAsia" w:hAnsiTheme="minorEastAsia" w:eastAsiaTheme="minorEastAsia" w:cstheme="minorEastAsia"/>
          <w:b/>
          <w:bCs/>
          <w:color w:val="auto"/>
          <w:szCs w:val="21"/>
          <w:highlight w:val="none"/>
          <w:lang w:val="en-US" w:eastAsia="zh-CN"/>
        </w:rPr>
        <w:t>租赁和商务服务业</w:t>
      </w:r>
      <w:r>
        <w:rPr>
          <w:rFonts w:hint="eastAsia" w:asciiTheme="minorEastAsia" w:hAnsiTheme="minorEastAsia" w:eastAsiaTheme="minorEastAsia" w:cstheme="minorEastAsia"/>
          <w:b/>
          <w:bCs/>
          <w:color w:val="auto"/>
          <w:szCs w:val="21"/>
          <w:highlight w:val="none"/>
          <w:lang w:eastAsia="zh-CN"/>
        </w:rPr>
        <w:t>。</w:t>
      </w:r>
    </w:p>
    <w:p>
      <w:pPr>
        <w:spacing w:line="360" w:lineRule="auto"/>
        <w:ind w:firstLine="413" w:firstLineChars="196"/>
        <w:rPr>
          <w:rFonts w:hint="eastAsia" w:asciiTheme="minorEastAsia" w:hAnsiTheme="minorEastAsia" w:eastAsiaTheme="minorEastAsia" w:cstheme="minorEastAsia"/>
          <w:b/>
          <w:bCs/>
          <w:color w:val="auto"/>
          <w:szCs w:val="21"/>
          <w:highlight w:val="none"/>
          <w:lang w:eastAsia="zh-CN"/>
        </w:rPr>
      </w:pPr>
    </w:p>
    <w:p>
      <w:pPr>
        <w:pStyle w:val="9"/>
        <w:jc w:val="center"/>
        <w:rPr>
          <w:rFonts w:hint="default"/>
          <w:color w:val="auto"/>
          <w:highlight w:val="none"/>
          <w:lang w:val="en-US" w:eastAsia="zh-CN"/>
        </w:rPr>
      </w:pPr>
      <w:r>
        <w:rPr>
          <w:rFonts w:hint="eastAsia" w:asciiTheme="minorEastAsia" w:hAnsiTheme="minorEastAsia" w:eastAsiaTheme="minorEastAsia" w:cstheme="minorEastAsia"/>
          <w:b/>
          <w:bCs/>
          <w:color w:val="auto"/>
          <w:sz w:val="28"/>
          <w:szCs w:val="22"/>
          <w:highlight w:val="none"/>
          <w:lang w:val="en-US" w:eastAsia="zh-CN"/>
        </w:rPr>
        <w:t>第一节  技术服务需求</w:t>
      </w:r>
    </w:p>
    <w:p>
      <w:pPr>
        <w:spacing w:line="56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（一）项目名称</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国家税务总局南宁市青秀区税务局职工食堂劳务承包采购</w:t>
      </w:r>
    </w:p>
    <w:p>
      <w:pPr>
        <w:spacing w:line="56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（二）项目标的</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国家税务总局南宁市青秀区税务局职工食堂劳务承包</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地址：南宁市青秀区平湖路4号葛东大厦3楼青秀区税务局食堂、鲤湾路3号鲤湾厅食堂</w:t>
      </w:r>
    </w:p>
    <w:p>
      <w:pPr>
        <w:spacing w:line="56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（三）项目服务方式</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2" w:name="_Hlt72496520"/>
      <w:bookmarkEnd w:id="2"/>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负责</w:t>
      </w:r>
      <w:r>
        <w:rPr>
          <w:rFonts w:hint="eastAsia" w:asciiTheme="minorEastAsia" w:hAnsiTheme="minorEastAsia" w:eastAsiaTheme="minorEastAsia" w:cstheme="minorEastAsia"/>
          <w:color w:val="auto"/>
          <w:sz w:val="21"/>
          <w:szCs w:val="21"/>
          <w:highlight w:val="none"/>
        </w:rPr>
        <w:t>食堂早、中餐的菜肴制作、销售服务，确保饭菜可口且质量符合安全、卫生标准；</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负责</w:t>
      </w:r>
      <w:r>
        <w:rPr>
          <w:rFonts w:hint="eastAsia" w:asciiTheme="minorEastAsia" w:hAnsiTheme="minorEastAsia" w:eastAsiaTheme="minorEastAsia" w:cstheme="minorEastAsia"/>
          <w:color w:val="auto"/>
          <w:sz w:val="21"/>
          <w:szCs w:val="21"/>
          <w:highlight w:val="none"/>
        </w:rPr>
        <w:t>公务接待、会议接待、加班餐任务；</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3.严把菜品验收关，保证质量符合食品安全卫生；</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4.重视菜品询价工作，配合甲方</w:t>
      </w:r>
      <w:r>
        <w:rPr>
          <w:rFonts w:hint="eastAsia" w:asciiTheme="minorEastAsia" w:hAnsiTheme="minorEastAsia" w:eastAsiaTheme="minorEastAsia" w:cstheme="minorEastAsia"/>
          <w:color w:val="auto"/>
          <w:sz w:val="21"/>
          <w:szCs w:val="21"/>
          <w:highlight w:val="none"/>
        </w:rPr>
        <w:t>做好食堂成本控制，避免铺张浪费。</w:t>
      </w:r>
    </w:p>
    <w:p>
      <w:pPr>
        <w:spacing w:line="560" w:lineRule="exact"/>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负责</w:t>
      </w:r>
      <w:r>
        <w:rPr>
          <w:rFonts w:hint="eastAsia" w:asciiTheme="minorEastAsia" w:hAnsiTheme="minorEastAsia" w:eastAsiaTheme="minorEastAsia" w:cstheme="minorEastAsia"/>
          <w:color w:val="auto"/>
          <w:sz w:val="21"/>
          <w:szCs w:val="21"/>
          <w:highlight w:val="none"/>
          <w:lang w:val="en-US" w:eastAsia="zh-CN"/>
        </w:rPr>
        <w:t>每周出品熟菜、包点、牛奶等外卖并有序发放。</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负责</w:t>
      </w:r>
      <w:r>
        <w:rPr>
          <w:rFonts w:hint="eastAsia" w:asciiTheme="minorEastAsia" w:hAnsiTheme="minorEastAsia" w:eastAsiaTheme="minorEastAsia" w:cstheme="minorEastAsia"/>
          <w:color w:val="auto"/>
          <w:sz w:val="21"/>
          <w:szCs w:val="21"/>
          <w:highlight w:val="none"/>
        </w:rPr>
        <w:t>食堂的卫生保洁和其他日常管理工作。</w:t>
      </w:r>
    </w:p>
    <w:p>
      <w:pPr>
        <w:spacing w:line="56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（四）人员配置13人</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1.项目管理员</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楼面主管1人，要求有从事餐饮服务相同职务的履历，熟悉收费软件系统的操作，各种报表、数据的整理和统计。</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2.大厨1人，要求有从事餐饮服务相同职务的履历, 熟练制作各式菜肴、各种宴请菜谱的编写。</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3.炒锅2人(其中鲤湾厅点1人)，要求有从事餐饮服务相同职务的履历, 应各有所长，熟练运用各种烹饪方法制作各式菜肴。</w:t>
      </w:r>
    </w:p>
    <w:p>
      <w:pPr>
        <w:spacing w:line="560" w:lineRule="exact"/>
        <w:ind w:firstLine="525" w:firstLineChars="25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4.烧卤师傅1人，要求有从事餐饮服务相同职务的履历, 熟悉各种烧卤、冷菜的制作，并有一定食品雕刻和装盘技能</w:t>
      </w:r>
      <w:r>
        <w:rPr>
          <w:rFonts w:hint="eastAsia" w:asciiTheme="minorEastAsia" w:hAnsiTheme="minorEastAsia" w:eastAsiaTheme="minorEastAsia" w:cstheme="minorEastAsia"/>
          <w:color w:val="auto"/>
          <w:sz w:val="21"/>
          <w:szCs w:val="21"/>
          <w:highlight w:val="none"/>
          <w:lang w:eastAsia="zh-CN"/>
        </w:rPr>
        <w:t>。</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5.切配及打荷</w:t>
      </w:r>
      <w:r>
        <w:rPr>
          <w:rFonts w:hint="eastAsia" w:asciiTheme="minorEastAsia" w:hAnsiTheme="minorEastAsia" w:eastAsiaTheme="minorEastAsia" w:cstheme="minorEastAsia"/>
          <w:color w:val="auto"/>
          <w:sz w:val="21"/>
          <w:szCs w:val="21"/>
          <w:highlight w:val="none"/>
          <w:lang w:eastAsia="zh-CN"/>
        </w:rPr>
        <w:t>共</w:t>
      </w:r>
      <w:r>
        <w:rPr>
          <w:rFonts w:hint="eastAsia" w:asciiTheme="minorEastAsia" w:hAnsiTheme="minorEastAsia" w:eastAsiaTheme="minorEastAsia" w:cstheme="minorEastAsia"/>
          <w:color w:val="auto"/>
          <w:sz w:val="21"/>
          <w:szCs w:val="21"/>
          <w:highlight w:val="none"/>
        </w:rPr>
        <w:t>1人，要求有从事餐饮服务相同职务的履历，熟悉本岗位工作。</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kern w:val="0"/>
          <w:sz w:val="21"/>
          <w:szCs w:val="21"/>
          <w:highlight w:val="none"/>
        </w:rPr>
        <w:t>上什1</w:t>
      </w:r>
      <w:r>
        <w:rPr>
          <w:rFonts w:hint="eastAsia" w:asciiTheme="minorEastAsia" w:hAnsiTheme="minorEastAsia" w:eastAsiaTheme="minorEastAsia" w:cstheme="minorEastAsia"/>
          <w:color w:val="auto"/>
          <w:sz w:val="21"/>
          <w:szCs w:val="21"/>
          <w:highlight w:val="none"/>
        </w:rPr>
        <w:t>人，要求有从事餐饮服务相同职务的履历，熟悉本岗位工作。</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7.面点</w:t>
      </w:r>
      <w:r>
        <w:rPr>
          <w:rFonts w:hint="eastAsia" w:asciiTheme="minorEastAsia" w:hAnsiTheme="minorEastAsia" w:eastAsiaTheme="minorEastAsia" w:cstheme="minorEastAsia"/>
          <w:color w:val="auto"/>
          <w:kern w:val="0"/>
          <w:sz w:val="21"/>
          <w:szCs w:val="21"/>
          <w:highlight w:val="none"/>
        </w:rPr>
        <w:t>大工1</w:t>
      </w:r>
      <w:r>
        <w:rPr>
          <w:rFonts w:hint="eastAsia" w:asciiTheme="minorEastAsia" w:hAnsiTheme="minorEastAsia" w:eastAsiaTheme="minorEastAsia" w:cstheme="minorEastAsia"/>
          <w:color w:val="auto"/>
          <w:sz w:val="21"/>
          <w:szCs w:val="21"/>
          <w:highlight w:val="none"/>
        </w:rPr>
        <w:t>人，要求有从事餐饮服务相同职务的履历, 熟练制作各种中、西式面点。</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包厢服务员1人，</w:t>
      </w:r>
      <w:r>
        <w:rPr>
          <w:rFonts w:hint="eastAsia" w:asciiTheme="minorEastAsia" w:hAnsiTheme="minorEastAsia" w:eastAsiaTheme="minorEastAsia" w:cstheme="minorEastAsia"/>
          <w:color w:val="auto"/>
          <w:sz w:val="21"/>
          <w:szCs w:val="21"/>
          <w:highlight w:val="none"/>
        </w:rPr>
        <w:t>要求有从事餐饮服务相同职务的履历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受过餐饮服务的专业培训，能按工作流程完成各项接待任务、餐厅公共场所的保洁。</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服务员4人</w:t>
      </w:r>
      <w:r>
        <w:rPr>
          <w:rFonts w:hint="eastAsia" w:asciiTheme="minorEastAsia" w:hAnsiTheme="minorEastAsia" w:eastAsiaTheme="minorEastAsia" w:cstheme="minorEastAsia"/>
          <w:color w:val="auto"/>
          <w:sz w:val="21"/>
          <w:szCs w:val="21"/>
          <w:highlight w:val="none"/>
        </w:rPr>
        <w:t>(其中鲤湾厅点1人)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要求有从事相同职务的履历, 要求受过餐饮服务的专业培训，能按工作流程完成各项接待任务、餐厅公共场所的保洁。</w:t>
      </w:r>
    </w:p>
    <w:p>
      <w:pPr>
        <w:spacing w:line="560" w:lineRule="exact"/>
        <w:ind w:firstLine="420" w:firstLineChars="200"/>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lang w:eastAsia="zh-CN"/>
        </w:rPr>
        <w:t>以上</w:t>
      </w:r>
      <w:r>
        <w:rPr>
          <w:rFonts w:hint="eastAsia" w:asciiTheme="minorEastAsia" w:hAnsiTheme="minorEastAsia" w:eastAsiaTheme="minorEastAsia" w:cstheme="minorEastAsia"/>
          <w:b w:val="0"/>
          <w:bCs/>
          <w:color w:val="auto"/>
          <w:sz w:val="21"/>
          <w:szCs w:val="21"/>
          <w:highlight w:val="none"/>
        </w:rPr>
        <w:t>食堂所有岗位的人员素质要求：</w:t>
      </w:r>
    </w:p>
    <w:p>
      <w:pPr>
        <w:spacing w:line="560" w:lineRule="exact"/>
        <w:ind w:firstLine="420" w:firstLineChars="200"/>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成交后，食堂各岗位员工需持《健康证》上岗，人员各项素质符合行业要求，身体健康，没有传染病及精神病等不能控制自己行为能力的疾病病史，体貌端正，没有犯罪记录，具有与工作岗位相关的知识、技能。</w:t>
      </w:r>
    </w:p>
    <w:p>
      <w:pPr>
        <w:spacing w:line="560" w:lineRule="exact"/>
        <w:ind w:firstLine="211"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（五）项目服务期限</w:t>
      </w:r>
    </w:p>
    <w:p>
      <w:pPr>
        <w:spacing w:line="560" w:lineRule="exact"/>
        <w:ind w:firstLine="315" w:firstLineChars="15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项目服务期限为：一年</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年5月至202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年4月，</w:t>
      </w:r>
      <w:r>
        <w:rPr>
          <w:rFonts w:hint="eastAsia" w:asciiTheme="minorEastAsia" w:hAnsiTheme="minorEastAsia" w:eastAsiaTheme="minorEastAsia" w:cstheme="minorEastAsia"/>
          <w:color w:val="auto"/>
          <w:sz w:val="21"/>
          <w:szCs w:val="21"/>
          <w:highlight w:val="none"/>
          <w:lang w:eastAsia="zh-CN"/>
        </w:rPr>
        <w:t>因履行条件发生变动（例如时间和人员的变动），双方通过签订补充协议来进行调整</w:t>
      </w:r>
      <w:r>
        <w:rPr>
          <w:rFonts w:hint="eastAsia" w:asciiTheme="minorEastAsia" w:hAnsiTheme="minorEastAsia" w:eastAsiaTheme="minorEastAsia" w:cstheme="minorEastAsia"/>
          <w:color w:val="auto"/>
          <w:sz w:val="21"/>
          <w:szCs w:val="21"/>
          <w:highlight w:val="none"/>
          <w:lang w:val="en-US" w:eastAsia="zh-CN"/>
        </w:rPr>
        <w:t>}</w:t>
      </w:r>
    </w:p>
    <w:p>
      <w:pPr>
        <w:spacing w:line="560" w:lineRule="exact"/>
        <w:ind w:firstLine="316" w:firstLineChars="1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（六）承包费用上限控制价：95万元/年。</w:t>
      </w:r>
    </w:p>
    <w:p>
      <w:pPr>
        <w:spacing w:line="560" w:lineRule="exact"/>
        <w:ind w:firstLine="316" w:firstLineChars="1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（七）国家税务总局南宁市青秀区税务局职工食堂供餐情况简介：</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地址：南宁市青秀区平湖路4号葛东大厦3楼青秀区税务局食堂、鲤湾路3号鲤湾厅食堂</w:t>
      </w:r>
    </w:p>
    <w:p>
      <w:pPr>
        <w:spacing w:line="56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1.项目服务要求</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承包</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员工餐厅食品加工、发放及临时</w:t>
      </w:r>
      <w:r>
        <w:rPr>
          <w:rFonts w:hint="eastAsia" w:asciiTheme="minorEastAsia" w:hAnsiTheme="minorEastAsia" w:eastAsiaTheme="minorEastAsia" w:cstheme="minorEastAsia"/>
          <w:color w:val="auto"/>
          <w:kern w:val="0"/>
          <w:sz w:val="21"/>
          <w:szCs w:val="21"/>
          <w:highlight w:val="none"/>
          <w:lang w:eastAsia="zh-CN"/>
        </w:rPr>
        <w:t>接</w:t>
      </w:r>
      <w:r>
        <w:rPr>
          <w:rFonts w:hint="eastAsia" w:asciiTheme="minorEastAsia" w:hAnsiTheme="minorEastAsia" w:eastAsiaTheme="minorEastAsia" w:cstheme="minorEastAsia"/>
          <w:color w:val="auto"/>
          <w:kern w:val="0"/>
          <w:sz w:val="21"/>
          <w:szCs w:val="21"/>
          <w:highlight w:val="none"/>
        </w:rPr>
        <w:t>待</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加班餐的供餐业务。负责制作</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员工餐厅员工工作餐、招待餐，</w:t>
      </w:r>
      <w:r>
        <w:rPr>
          <w:rFonts w:hint="eastAsia" w:asciiTheme="minorEastAsia" w:hAnsiTheme="minorEastAsia" w:eastAsiaTheme="minorEastAsia" w:cstheme="minorEastAsia"/>
          <w:color w:val="auto"/>
          <w:kern w:val="0"/>
          <w:sz w:val="21"/>
          <w:szCs w:val="21"/>
          <w:highlight w:val="none"/>
          <w:lang w:val="en-US" w:eastAsia="zh-CN"/>
        </w:rPr>
        <w:t>每周出品熟菜、包点、牛奶等外卖并有序发放。</w:t>
      </w:r>
      <w:r>
        <w:rPr>
          <w:rFonts w:hint="eastAsia" w:asciiTheme="minorEastAsia" w:hAnsiTheme="minorEastAsia" w:eastAsiaTheme="minorEastAsia" w:cstheme="minorEastAsia"/>
          <w:color w:val="auto"/>
          <w:kern w:val="0"/>
          <w:sz w:val="21"/>
          <w:szCs w:val="21"/>
          <w:highlight w:val="none"/>
        </w:rPr>
        <w:t>负责餐厅的卫生清理、安全管理及客餐餐具的清洁消毒等工作。如有会议、日常接待等，要求包厢至少安排一个服务员（如超出现有食堂人员的工作量需外请人员支援的，由双方协定人员及费用）。</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2.膳食供应服务要求:</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应制定每周菜谱标准（每周四</w:t>
      </w:r>
      <w:r>
        <w:rPr>
          <w:rFonts w:hint="eastAsia" w:asciiTheme="minorEastAsia" w:hAnsiTheme="minorEastAsia" w:eastAsiaTheme="minorEastAsia" w:cstheme="minorEastAsia"/>
          <w:color w:val="auto"/>
          <w:kern w:val="0"/>
          <w:sz w:val="21"/>
          <w:szCs w:val="21"/>
          <w:highlight w:val="none"/>
          <w:lang w:eastAsia="zh-CN"/>
        </w:rPr>
        <w:t>前</w:t>
      </w:r>
      <w:r>
        <w:rPr>
          <w:rFonts w:hint="eastAsia" w:asciiTheme="minorEastAsia" w:hAnsiTheme="minorEastAsia" w:eastAsiaTheme="minorEastAsia" w:cstheme="minorEastAsia"/>
          <w:color w:val="auto"/>
          <w:kern w:val="0"/>
          <w:sz w:val="21"/>
          <w:szCs w:val="21"/>
          <w:highlight w:val="none"/>
        </w:rPr>
        <w:t>报下一周的菜谱给</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相关负责人审批），局办公食堂每日中餐出品不低于3个纯肉、</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个半肉、3个素菜、主食及点心</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个、汤粥2个、水果</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rPr>
        <w:t>种、及小配菜。早餐提供米粉、面、包子、点心、粥糊等</w:t>
      </w:r>
      <w:r>
        <w:rPr>
          <w:rFonts w:hint="eastAsia" w:asciiTheme="minorEastAsia" w:hAnsiTheme="minorEastAsia" w:eastAsia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个品种。鲤湾路食堂早餐不少于5个品种含米粉、面、包子、点心、粥等，中餐2个纯肉、2个半肉、2个素菜、主食1个、汤粥2个及小配菜。</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按制定的菜谱下单给</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指定的供</w:t>
      </w:r>
      <w:r>
        <w:rPr>
          <w:rFonts w:hint="eastAsia" w:asciiTheme="minorEastAsia" w:hAnsiTheme="minorEastAsia" w:eastAsiaTheme="minorEastAsia" w:cstheme="minorEastAsia"/>
          <w:color w:val="auto"/>
          <w:kern w:val="0"/>
          <w:sz w:val="21"/>
          <w:szCs w:val="21"/>
          <w:highlight w:val="none"/>
          <w:lang w:eastAsia="zh-CN"/>
        </w:rPr>
        <w:t>货</w:t>
      </w:r>
      <w:r>
        <w:rPr>
          <w:rFonts w:hint="eastAsia" w:asciiTheme="minorEastAsia" w:hAnsiTheme="minorEastAsia" w:eastAsiaTheme="minorEastAsia" w:cstheme="minorEastAsia"/>
          <w:color w:val="auto"/>
          <w:kern w:val="0"/>
          <w:sz w:val="21"/>
          <w:szCs w:val="21"/>
          <w:highlight w:val="none"/>
        </w:rPr>
        <w:t>商采购主副食品、调配料等食材及用餐所需的其它消耗品、卫生用具等。</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负责派人验收</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保证质量符合食品安全卫生标准。</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每月</w:t>
      </w:r>
      <w:r>
        <w:rPr>
          <w:rFonts w:hint="eastAsia" w:asciiTheme="minorEastAsia" w:hAnsiTheme="minorEastAsia" w:eastAsiaTheme="minorEastAsia" w:cstheme="minorEastAsia"/>
          <w:color w:val="auto"/>
          <w:kern w:val="0"/>
          <w:sz w:val="21"/>
          <w:szCs w:val="21"/>
          <w:highlight w:val="none"/>
          <w:lang w:eastAsia="zh-CN"/>
        </w:rPr>
        <w:t>至少两</w:t>
      </w:r>
      <w:r>
        <w:rPr>
          <w:rFonts w:hint="eastAsia" w:asciiTheme="minorEastAsia" w:hAnsiTheme="minorEastAsia" w:eastAsiaTheme="minorEastAsia" w:cstheme="minorEastAsia"/>
          <w:color w:val="auto"/>
          <w:kern w:val="0"/>
          <w:sz w:val="21"/>
          <w:szCs w:val="21"/>
          <w:highlight w:val="none"/>
        </w:rPr>
        <w:t>次对常用食材进行询价</w:t>
      </w:r>
      <w:r>
        <w:rPr>
          <w:rFonts w:hint="eastAsia" w:asciiTheme="minorEastAsia" w:hAnsiTheme="minorEastAsia" w:eastAsiaTheme="minorEastAsia" w:cstheme="minorEastAsia"/>
          <w:color w:val="auto"/>
          <w:kern w:val="0"/>
          <w:sz w:val="21"/>
          <w:szCs w:val="21"/>
          <w:highlight w:val="none"/>
          <w:lang w:eastAsia="zh-CN"/>
        </w:rPr>
        <w:t>（或在南宁市物价网比价）</w:t>
      </w:r>
      <w:r>
        <w:rPr>
          <w:rFonts w:hint="eastAsia" w:asciiTheme="minorEastAsia" w:hAnsiTheme="minorEastAsia" w:eastAsiaTheme="minorEastAsia" w:cstheme="minorEastAsia"/>
          <w:color w:val="auto"/>
          <w:kern w:val="0"/>
          <w:sz w:val="21"/>
          <w:szCs w:val="21"/>
          <w:highlight w:val="none"/>
        </w:rPr>
        <w:t>，与食材供货商报价比对后把结果报</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定价，验收时严格执行。做好食堂成本的控制，避免铺张浪费。</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负责管理和安排人员为非节假日期间</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的日均早餐不超过100人，中餐不超过200人（分别为局办公食堂、锂湾路食堂）的员工提供一日二餐（早、中餐）及工作业务</w:t>
      </w:r>
      <w:r>
        <w:rPr>
          <w:rFonts w:hint="eastAsia" w:asciiTheme="minorEastAsia" w:hAnsiTheme="minorEastAsia" w:eastAsiaTheme="minorEastAsia" w:cstheme="minorEastAsia"/>
          <w:color w:val="auto"/>
          <w:kern w:val="0"/>
          <w:sz w:val="21"/>
          <w:szCs w:val="21"/>
          <w:highlight w:val="none"/>
          <w:lang w:eastAsia="zh-CN"/>
        </w:rPr>
        <w:t>提供</w:t>
      </w:r>
      <w:r>
        <w:rPr>
          <w:rFonts w:hint="eastAsia" w:asciiTheme="minorEastAsia" w:hAnsiTheme="minorEastAsia" w:eastAsiaTheme="minorEastAsia" w:cstheme="minorEastAsia"/>
          <w:color w:val="auto"/>
          <w:kern w:val="0"/>
          <w:sz w:val="21"/>
          <w:szCs w:val="21"/>
          <w:highlight w:val="none"/>
        </w:rPr>
        <w:t>接待餐、加班餐，接待餐、加班餐人数按实际计算</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每周出品熟菜、包点、牛奶等外卖并有序发放</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确保饭菜可口且质量符合安全、卫生标准，并负责食堂及周边环境的清洁卫生（两个就餐点）。</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rPr>
        <w:t>5）服务期间食堂的水、电、燃料等费用由</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自行承担，但</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应注意节约能源，如发现有浪费情况，每次扣除</w:t>
      </w:r>
      <w:r>
        <w:rPr>
          <w:rFonts w:hint="eastAsia" w:asciiTheme="minorEastAsia" w:hAnsiTheme="minorEastAsia" w:eastAsiaTheme="minorEastAsia" w:cstheme="minorEastAsia"/>
          <w:color w:val="auto"/>
          <w:kern w:val="0"/>
          <w:sz w:val="21"/>
          <w:szCs w:val="21"/>
          <w:highlight w:val="none"/>
          <w:lang w:val="en-US" w:eastAsia="zh-CN"/>
        </w:rPr>
        <w:t>当月承包劳务费</w:t>
      </w:r>
      <w:r>
        <w:rPr>
          <w:rFonts w:hint="eastAsia" w:asciiTheme="minorEastAsia" w:hAnsiTheme="minorEastAsia" w:eastAsiaTheme="minorEastAsia" w:cstheme="minorEastAsia"/>
          <w:color w:val="auto"/>
          <w:kern w:val="0"/>
          <w:sz w:val="21"/>
          <w:szCs w:val="21"/>
          <w:highlight w:val="none"/>
        </w:rPr>
        <w:t>100元。</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）服务期间供应商如出现1次影响到采购人食堂的正常运转的，采购人每次将扣除履约保证金</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rPr>
        <w:t>000元</w:t>
      </w:r>
      <w:r>
        <w:rPr>
          <w:rFonts w:hint="eastAsia" w:asciiTheme="minorEastAsia" w:hAnsiTheme="minorEastAsia" w:eastAsiaTheme="minorEastAsia" w:cstheme="minorEastAsia"/>
          <w:color w:val="auto"/>
          <w:kern w:val="0"/>
          <w:sz w:val="21"/>
          <w:szCs w:val="21"/>
          <w:highlight w:val="none"/>
          <w:lang w:eastAsia="zh-CN"/>
        </w:rPr>
        <w:t>。</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7</w:t>
      </w:r>
      <w:r>
        <w:rPr>
          <w:rFonts w:hint="eastAsia" w:asciiTheme="minorEastAsia" w:hAnsiTheme="minorEastAsia" w:eastAsiaTheme="minorEastAsia" w:cstheme="minorEastAsia"/>
          <w:color w:val="auto"/>
          <w:kern w:val="0"/>
          <w:sz w:val="21"/>
          <w:szCs w:val="21"/>
          <w:highlight w:val="none"/>
        </w:rPr>
        <w:t>）服务期间</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负责食堂设备、用具的保管，定期制作盘点表，如有自然损耗由</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备案核销及补齐，如人为损坏由</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按同等质量、规格赔偿。</w:t>
      </w:r>
      <w:r>
        <w:rPr>
          <w:rFonts w:hint="eastAsia" w:asciiTheme="minorEastAsia" w:hAnsiTheme="minorEastAsia" w:eastAsiaTheme="minorEastAsia" w:cstheme="minorEastAsia"/>
          <w:color w:val="auto"/>
          <w:kern w:val="0"/>
          <w:sz w:val="21"/>
          <w:szCs w:val="21"/>
          <w:highlight w:val="none"/>
          <w:lang w:eastAsia="zh-CN"/>
        </w:rPr>
        <w:t>采购人</w:t>
      </w:r>
      <w:r>
        <w:rPr>
          <w:rFonts w:hint="eastAsia" w:asciiTheme="minorEastAsia" w:hAnsiTheme="minorEastAsia" w:eastAsiaTheme="minorEastAsia" w:cstheme="minorEastAsia"/>
          <w:color w:val="auto"/>
          <w:kern w:val="0"/>
          <w:sz w:val="21"/>
          <w:szCs w:val="21"/>
          <w:highlight w:val="none"/>
        </w:rPr>
        <w:t>在工作中给予监督和配合。</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必须遵守机关的各项规章制度、履行签订合同协议，</w:t>
      </w:r>
      <w:r>
        <w:rPr>
          <w:rFonts w:hint="eastAsia" w:asciiTheme="minorEastAsia" w:hAnsiTheme="minorEastAsia" w:eastAsiaTheme="minorEastAsia" w:cstheme="minorEastAsia"/>
          <w:color w:val="auto"/>
          <w:kern w:val="0"/>
          <w:sz w:val="21"/>
          <w:szCs w:val="21"/>
          <w:highlight w:val="none"/>
          <w:lang w:eastAsia="zh-CN"/>
        </w:rPr>
        <w:t>真诚接受</w:t>
      </w:r>
      <w:r>
        <w:rPr>
          <w:rFonts w:hint="eastAsia" w:asciiTheme="minorEastAsia" w:hAnsiTheme="minorEastAsia" w:eastAsiaTheme="minorEastAsia" w:cstheme="minorEastAsia"/>
          <w:color w:val="auto"/>
          <w:kern w:val="0"/>
          <w:sz w:val="21"/>
          <w:szCs w:val="21"/>
          <w:highlight w:val="none"/>
        </w:rPr>
        <w:t>机关干部职工对食堂饭菜、服务质量的评估</w:t>
      </w:r>
      <w:r>
        <w:rPr>
          <w:rFonts w:hint="eastAsia" w:asciiTheme="minorEastAsia" w:hAnsiTheme="minorEastAsia" w:eastAsiaTheme="minorEastAsia" w:cstheme="minorEastAsia"/>
          <w:color w:val="auto"/>
          <w:kern w:val="0"/>
          <w:sz w:val="21"/>
          <w:szCs w:val="21"/>
          <w:highlight w:val="none"/>
          <w:lang w:eastAsia="zh-CN"/>
        </w:rPr>
        <w:t>并改进服务质量</w:t>
      </w:r>
      <w:r>
        <w:rPr>
          <w:rFonts w:hint="eastAsia" w:asciiTheme="minorEastAsia" w:hAnsiTheme="minorEastAsia" w:eastAsiaTheme="minorEastAsia" w:cstheme="minorEastAsia"/>
          <w:color w:val="auto"/>
          <w:kern w:val="0"/>
          <w:sz w:val="21"/>
          <w:szCs w:val="21"/>
          <w:highlight w:val="none"/>
        </w:rPr>
        <w:t>,做好微笑服务。</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9</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eastAsia="zh-CN"/>
        </w:rPr>
        <w:t>成交供应商</w:t>
      </w:r>
      <w:r>
        <w:rPr>
          <w:rFonts w:hint="eastAsia" w:asciiTheme="minorEastAsia" w:hAnsiTheme="minorEastAsia" w:eastAsiaTheme="minorEastAsia" w:cstheme="minorEastAsia"/>
          <w:color w:val="auto"/>
          <w:kern w:val="0"/>
          <w:sz w:val="21"/>
          <w:szCs w:val="21"/>
          <w:highlight w:val="none"/>
        </w:rPr>
        <w:t>项目管理员必须熟悉收费软件系统的操作，各种报表、数据的整理和统计，协调本项目的圆满完成。</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负责</w:t>
      </w:r>
      <w:r>
        <w:rPr>
          <w:rFonts w:hint="eastAsia" w:asciiTheme="minorEastAsia" w:hAnsiTheme="minorEastAsia" w:eastAsiaTheme="minorEastAsia" w:cstheme="minorEastAsia"/>
          <w:color w:val="auto"/>
          <w:sz w:val="21"/>
          <w:szCs w:val="21"/>
          <w:highlight w:val="none"/>
        </w:rPr>
        <w:t>其</w:t>
      </w:r>
      <w:r>
        <w:rPr>
          <w:rFonts w:hint="eastAsia" w:asciiTheme="minorEastAsia" w:hAnsiTheme="minorEastAsia" w:eastAsiaTheme="minorEastAsia" w:cstheme="minorEastAsia"/>
          <w:color w:val="auto"/>
          <w:kern w:val="0"/>
          <w:sz w:val="21"/>
          <w:szCs w:val="21"/>
          <w:highlight w:val="none"/>
        </w:rPr>
        <w:t>他临时交办的相关工作。</w:t>
      </w:r>
    </w:p>
    <w:p>
      <w:pPr>
        <w:spacing w:line="560" w:lineRule="exact"/>
        <w:ind w:firstLine="420" w:firstLineChars="200"/>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rPr>
        <w:t>）青秀局职工食堂劳务承包服务质量考核标准</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420" w:lineRule="exact"/>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青秀局职工食堂劳务承包服务</w:t>
      </w:r>
      <w:r>
        <w:rPr>
          <w:rFonts w:hint="eastAsia" w:ascii="宋体" w:hAnsi="宋体" w:cs="宋体"/>
          <w:b/>
          <w:bCs/>
          <w:color w:val="auto"/>
          <w:szCs w:val="21"/>
          <w:highlight w:val="none"/>
        </w:rPr>
        <w:t>质量考核</w:t>
      </w:r>
      <w:r>
        <w:rPr>
          <w:rFonts w:hint="eastAsia" w:ascii="宋体" w:hAnsi="宋体" w:cs="宋体"/>
          <w:b/>
          <w:bCs/>
          <w:color w:val="auto"/>
          <w:szCs w:val="21"/>
          <w:highlight w:val="none"/>
          <w:lang w:val="en-US" w:eastAsia="zh-CN"/>
        </w:rPr>
        <w:t>标准</w:t>
      </w:r>
    </w:p>
    <w:tbl>
      <w:tblPr>
        <w:tblStyle w:val="6"/>
        <w:tblW w:w="9620" w:type="dxa"/>
        <w:jc w:val="center"/>
        <w:tblInd w:w="0" w:type="dxa"/>
        <w:tblLayout w:type="fixed"/>
        <w:tblCellMar>
          <w:top w:w="0" w:type="dxa"/>
          <w:left w:w="108" w:type="dxa"/>
          <w:bottom w:w="0" w:type="dxa"/>
          <w:right w:w="108" w:type="dxa"/>
        </w:tblCellMar>
      </w:tblPr>
      <w:tblGrid>
        <w:gridCol w:w="647"/>
        <w:gridCol w:w="4266"/>
        <w:gridCol w:w="720"/>
        <w:gridCol w:w="2389"/>
        <w:gridCol w:w="46"/>
        <w:gridCol w:w="906"/>
        <w:gridCol w:w="646"/>
      </w:tblGrid>
      <w:tr>
        <w:tblPrEx>
          <w:tblLayout w:type="fixed"/>
          <w:tblCellMar>
            <w:top w:w="0" w:type="dxa"/>
            <w:left w:w="108" w:type="dxa"/>
            <w:bottom w:w="0" w:type="dxa"/>
            <w:right w:w="108" w:type="dxa"/>
          </w:tblCellMar>
        </w:tblPrEx>
        <w:trPr>
          <w:trHeight w:val="75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宋体" w:hAnsi="宋体" w:cs="宋体"/>
                <w:b/>
                <w:color w:val="auto"/>
                <w:szCs w:val="21"/>
                <w:highlight w:val="none"/>
              </w:rPr>
            </w:pPr>
            <w:r>
              <w:rPr>
                <w:rFonts w:ascii="宋体" w:hAnsi="宋体" w:cs="宋体"/>
                <w:b/>
                <w:color w:val="auto"/>
                <w:szCs w:val="21"/>
                <w:highlight w:val="none"/>
              </w:rPr>
              <w:t>序号</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宋体" w:hAnsi="宋体" w:cs="宋体"/>
                <w:b/>
                <w:color w:val="auto"/>
                <w:szCs w:val="21"/>
                <w:highlight w:val="none"/>
              </w:rPr>
            </w:pPr>
            <w:r>
              <w:rPr>
                <w:rFonts w:hint="eastAsia" w:ascii="宋体" w:hAnsi="宋体" w:cs="宋体"/>
                <w:b/>
                <w:color w:val="auto"/>
                <w:szCs w:val="21"/>
                <w:highlight w:val="none"/>
              </w:rPr>
              <w:t>考核内容及标准要求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宋体" w:hAnsi="宋体" w:cs="宋体"/>
                <w:b/>
                <w:color w:val="auto"/>
                <w:szCs w:val="21"/>
                <w:highlight w:val="none"/>
              </w:rPr>
            </w:pPr>
            <w:r>
              <w:rPr>
                <w:rFonts w:hint="eastAsia" w:ascii="宋体" w:hAnsi="宋体" w:cs="宋体"/>
                <w:b/>
                <w:color w:val="auto"/>
                <w:szCs w:val="21"/>
                <w:highlight w:val="none"/>
              </w:rPr>
              <w:t>标准分</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宋体" w:hAnsi="宋体" w:cs="宋体"/>
                <w:b/>
                <w:color w:val="auto"/>
                <w:szCs w:val="21"/>
                <w:highlight w:val="none"/>
              </w:rPr>
            </w:pPr>
            <w:r>
              <w:rPr>
                <w:rFonts w:hint="eastAsia" w:ascii="宋体" w:hAnsi="宋体" w:cs="宋体"/>
                <w:b/>
                <w:color w:val="auto"/>
                <w:szCs w:val="21"/>
                <w:highlight w:val="none"/>
              </w:rPr>
              <w:t>考核结果</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宋体" w:hAnsi="宋体" w:cs="宋体"/>
                <w:b/>
                <w:color w:val="auto"/>
                <w:szCs w:val="21"/>
                <w:highlight w:val="none"/>
              </w:rPr>
            </w:pPr>
            <w:r>
              <w:rPr>
                <w:rFonts w:hint="eastAsia" w:ascii="宋体" w:hAnsi="宋体" w:cs="宋体"/>
                <w:b/>
                <w:color w:val="auto"/>
                <w:szCs w:val="21"/>
                <w:highlight w:val="none"/>
              </w:rPr>
              <w:t>扣分标准</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ascii="宋体" w:hAnsi="宋体" w:cs="宋体"/>
                <w:b/>
                <w:color w:val="auto"/>
                <w:szCs w:val="21"/>
                <w:highlight w:val="none"/>
              </w:rPr>
            </w:pPr>
            <w:r>
              <w:rPr>
                <w:rFonts w:hint="eastAsia" w:ascii="宋体" w:hAnsi="宋体" w:cs="宋体"/>
                <w:b/>
                <w:color w:val="auto"/>
                <w:szCs w:val="21"/>
                <w:highlight w:val="none"/>
              </w:rPr>
              <w:t>实际扣分</w:t>
            </w:r>
          </w:p>
        </w:tc>
      </w:tr>
      <w:tr>
        <w:tblPrEx>
          <w:tblLayout w:type="fixed"/>
          <w:tblCellMar>
            <w:top w:w="0" w:type="dxa"/>
            <w:left w:w="108" w:type="dxa"/>
            <w:bottom w:w="0" w:type="dxa"/>
            <w:right w:w="108" w:type="dxa"/>
          </w:tblCellMar>
        </w:tblPrEx>
        <w:trPr>
          <w:trHeight w:val="569"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一</w:t>
            </w:r>
          </w:p>
        </w:tc>
        <w:tc>
          <w:tcPr>
            <w:tcW w:w="89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宋体" w:hAnsi="宋体" w:cs="宋体"/>
                <w:b/>
                <w:color w:val="auto"/>
                <w:szCs w:val="21"/>
                <w:highlight w:val="none"/>
              </w:rPr>
            </w:pPr>
            <w:r>
              <w:rPr>
                <w:rFonts w:hint="eastAsia" w:ascii="宋体" w:hAnsi="宋体" w:cs="宋体"/>
                <w:b/>
                <w:color w:val="auto"/>
                <w:szCs w:val="21"/>
                <w:highlight w:val="none"/>
              </w:rPr>
              <w:t>健全各项规章制度（5分）</w:t>
            </w:r>
          </w:p>
        </w:tc>
      </w:tr>
      <w:tr>
        <w:tblPrEx>
          <w:tblLayout w:type="fixed"/>
          <w:tblCellMar>
            <w:top w:w="0" w:type="dxa"/>
            <w:left w:w="108" w:type="dxa"/>
            <w:bottom w:w="0" w:type="dxa"/>
            <w:right w:w="108" w:type="dxa"/>
          </w:tblCellMar>
        </w:tblPrEx>
        <w:trPr>
          <w:trHeight w:val="383"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食品卫生管理制度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无管理制度扣1分/项，有制度执行不好或不执行的，每一项扣0.1--0.5分</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37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食堂环境卫生管理制度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401"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eastAsia="宋体" w:cs="宋体"/>
                <w:color w:val="auto"/>
                <w:szCs w:val="21"/>
                <w:highlight w:val="none"/>
              </w:rPr>
              <w:t>工作人员健康检查制度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369"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4</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工作人员服务守则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369"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5</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工作人员岗位工作标准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284"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二</w:t>
            </w:r>
          </w:p>
        </w:tc>
        <w:tc>
          <w:tcPr>
            <w:tcW w:w="89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b/>
                <w:color w:val="auto"/>
                <w:szCs w:val="21"/>
                <w:highlight w:val="none"/>
              </w:rPr>
            </w:pPr>
            <w:r>
              <w:rPr>
                <w:rFonts w:hint="eastAsia" w:ascii="宋体" w:hAnsi="宋体" w:cs="宋体"/>
                <w:b/>
                <w:color w:val="auto"/>
                <w:szCs w:val="21"/>
                <w:highlight w:val="none"/>
              </w:rPr>
              <w:t>环境及用具卫生(15分)</w:t>
            </w:r>
          </w:p>
        </w:tc>
      </w:tr>
      <w:tr>
        <w:tblPrEx>
          <w:tblLayout w:type="fixed"/>
          <w:tblCellMar>
            <w:top w:w="0" w:type="dxa"/>
            <w:left w:w="108" w:type="dxa"/>
            <w:bottom w:w="0" w:type="dxa"/>
            <w:right w:w="108" w:type="dxa"/>
          </w:tblCellMar>
        </w:tblPrEx>
        <w:trPr>
          <w:trHeight w:val="597"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保持餐厅地面清洁，窗户明亮，桌椅干净，天花板、墙壁无积尘、无蛛网</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清洁卫生不达标，每次每项</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0.2分</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63"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及时清理餐桌残留物，保持清洁，无油腻</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不按规定的，每次每项</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0.1分</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110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冷冻室、冷藏室无灰尘，无蜘蛛网，无油迹，生菜和熟菜分别存放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ascii="宋体" w:hAnsi="宋体" w:cs="宋体"/>
                <w:color w:val="auto"/>
                <w:szCs w:val="21"/>
                <w:highlight w:val="none"/>
              </w:rPr>
              <w:t>3</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冷冻室、冷藏室清洁卫生不达标，生熟食物未分别存放的，每一项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977"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4</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按照卫生标准，对锅、碗、瓢、盆、案板、菜刀、餐具等实行一洗、二刷、三冲、四消毒</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不按卫生标准对餐具进行清洗消毒的，每一项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0.3分/次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702"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5</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保持货架、售卖台、抽风系统、箱柜的整洁干净，洗物池做到无污、无苔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清洁卫生不达标，每一项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0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6</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厨房、碗柜内物品摆放整齐，餐具密闭存放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不按规定的，每一项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87"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7</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消毒柜、餐具回收要及时清洗，餐具消毒才能给客人使用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不按规定的，每一项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5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8</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垃圾桶、潲水桶四周无垃圾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清洁卫生不达标，每一项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284"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宋体" w:hAnsi="宋体" w:cs="宋体"/>
                <w:b/>
                <w:color w:val="auto"/>
                <w:szCs w:val="21"/>
                <w:highlight w:val="none"/>
              </w:rPr>
            </w:pPr>
            <w:r>
              <w:rPr>
                <w:rFonts w:hint="eastAsia" w:ascii="宋体" w:hAnsi="宋体" w:cs="宋体"/>
                <w:b/>
                <w:color w:val="auto"/>
                <w:szCs w:val="21"/>
                <w:highlight w:val="none"/>
              </w:rPr>
              <w:t>三</w:t>
            </w:r>
          </w:p>
        </w:tc>
        <w:tc>
          <w:tcPr>
            <w:tcW w:w="89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b/>
                <w:color w:val="auto"/>
                <w:szCs w:val="21"/>
                <w:highlight w:val="none"/>
              </w:rPr>
            </w:pPr>
            <w:r>
              <w:rPr>
                <w:rFonts w:hint="eastAsia" w:ascii="宋体" w:hAnsi="宋体" w:cs="宋体"/>
                <w:b/>
                <w:color w:val="auto"/>
                <w:szCs w:val="21"/>
                <w:highlight w:val="none"/>
              </w:rPr>
              <w:t>食品卫生(20)</w:t>
            </w:r>
          </w:p>
        </w:tc>
      </w:tr>
      <w:tr>
        <w:tblPrEx>
          <w:tblLayout w:type="fixed"/>
          <w:tblCellMar>
            <w:top w:w="0" w:type="dxa"/>
            <w:left w:w="108" w:type="dxa"/>
            <w:bottom w:w="0" w:type="dxa"/>
            <w:right w:w="108" w:type="dxa"/>
          </w:tblCellMar>
        </w:tblPrEx>
        <w:trPr>
          <w:trHeight w:val="1087"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认真执行国家有关食品卫生法的规定,严把采购关,使用绿色食品,严防食源性疾患的发生。做好食品安全管理,杜绝食品中毒事件发生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一票否决</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发生食品中毒事件或其他食源性疾患</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10分/次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9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蔬菜要先拣后洗,保证菜肴无虫子、沙子、头发、杂物等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菜肴内有异物被投诉</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11"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strike/>
                <w:color w:val="auto"/>
                <w:szCs w:val="21"/>
                <w:highlight w:val="none"/>
              </w:rPr>
            </w:pPr>
            <w:r>
              <w:rPr>
                <w:rFonts w:hint="eastAsia" w:ascii="宋体" w:hAnsi="宋体" w:cs="宋体"/>
                <w:color w:val="auto"/>
                <w:szCs w:val="21"/>
                <w:highlight w:val="none"/>
              </w:rPr>
              <w:t>食品</w:t>
            </w:r>
            <w:r>
              <w:rPr>
                <w:rFonts w:hint="eastAsia" w:ascii="宋体" w:hAnsi="宋体" w:cs="宋体"/>
                <w:color w:val="auto"/>
                <w:szCs w:val="21"/>
                <w:highlight w:val="none"/>
                <w:lang w:eastAsia="zh-CN"/>
              </w:rPr>
              <w:t>生熟</w:t>
            </w:r>
            <w:r>
              <w:rPr>
                <w:rFonts w:hint="eastAsia" w:ascii="宋体" w:hAnsi="宋体" w:cs="宋体"/>
                <w:color w:val="auto"/>
                <w:szCs w:val="21"/>
                <w:highlight w:val="none"/>
              </w:rPr>
              <w:t>需分开，实行专刀专用、专板专用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strike/>
                <w:color w:val="auto"/>
                <w:szCs w:val="21"/>
                <w:highlight w:val="none"/>
              </w:rPr>
            </w:pPr>
            <w:r>
              <w:rPr>
                <w:rFonts w:hint="eastAsia" w:ascii="宋体" w:hAnsi="宋体" w:cs="宋体"/>
                <w:color w:val="auto"/>
                <w:szCs w:val="21"/>
                <w:highlight w:val="none"/>
              </w:rPr>
              <w:t>发现混用一次扣1分</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592"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肉菜按规定程序清洗干净</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肉菜有杂物，有异味</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每天制作的饭菜至下班后剩饭菜，必须随时清理和处理。</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不按规定的，每次扣0.5分</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581"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熟食、面食要加盖加罩，做好防尘防蝇工作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不按卫生管理规定做好食品防尘防蝇工作的</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39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b/>
                <w:color w:val="auto"/>
                <w:szCs w:val="21"/>
                <w:highlight w:val="none"/>
              </w:rPr>
            </w:pPr>
            <w:r>
              <w:rPr>
                <w:rFonts w:hint="eastAsia" w:ascii="宋体" w:hAnsi="宋体" w:cs="宋体"/>
                <w:b/>
                <w:color w:val="auto"/>
                <w:szCs w:val="21"/>
                <w:highlight w:val="none"/>
              </w:rPr>
              <w:t>四</w:t>
            </w:r>
          </w:p>
        </w:tc>
        <w:tc>
          <w:tcPr>
            <w:tcW w:w="89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b/>
                <w:color w:val="auto"/>
                <w:szCs w:val="21"/>
                <w:highlight w:val="none"/>
              </w:rPr>
            </w:pPr>
            <w:r>
              <w:rPr>
                <w:rFonts w:hint="eastAsia" w:ascii="宋体" w:hAnsi="宋体" w:cs="宋体"/>
                <w:b/>
                <w:color w:val="auto"/>
                <w:szCs w:val="21"/>
                <w:highlight w:val="none"/>
              </w:rPr>
              <w:t>食堂工作人员卫生守则、服务质量（15分）</w:t>
            </w:r>
          </w:p>
        </w:tc>
      </w:tr>
      <w:tr>
        <w:tblPrEx>
          <w:tblLayout w:type="fixed"/>
          <w:tblCellMar>
            <w:top w:w="0" w:type="dxa"/>
            <w:left w:w="108" w:type="dxa"/>
            <w:bottom w:w="0" w:type="dxa"/>
            <w:right w:w="108" w:type="dxa"/>
          </w:tblCellMar>
        </w:tblPrEx>
        <w:trPr>
          <w:trHeight w:val="676"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食堂工作人员每年进行一次健康检查，无健康合格证不准上岗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strike/>
                <w:color w:val="auto"/>
                <w:szCs w:val="21"/>
                <w:highlight w:val="none"/>
              </w:rPr>
            </w:pPr>
            <w:r>
              <w:rPr>
                <w:rFonts w:hint="eastAsia" w:ascii="宋体" w:hAnsi="宋体" w:cs="宋体"/>
                <w:color w:val="auto"/>
                <w:szCs w:val="21"/>
                <w:highlight w:val="none"/>
              </w:rPr>
              <w:t>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不定期体检或无健康证的，每一项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1分/人次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29"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工作人员必须穿着整洁的工作服，接触入口食品要戴口罩及一次性手套</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3</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不按规定的，每次每项</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0.3分/人次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125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工作人员要勤洗手、勤剪指甲，患有感冒等传染性疾病要主动报告，患病工作人员不直接接触食品的岗位工作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4</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个人卫生不符合饮食行业管理规定，工作人员患有传染病不报告，食堂未安排其休息或调整工作的</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1分/人次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860"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工作人员要遵守职业道德，做到礼貌待人，热情服务，文明用语</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3</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不遵守职业道德，与员工吵架，服务态度差被投诉的</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0.5分/人次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4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b/>
                <w:color w:val="auto"/>
                <w:szCs w:val="21"/>
                <w:highlight w:val="none"/>
              </w:rPr>
            </w:pPr>
            <w:r>
              <w:rPr>
                <w:rFonts w:hint="eastAsia" w:ascii="宋体" w:hAnsi="宋体" w:cs="宋体"/>
                <w:b/>
                <w:color w:val="auto"/>
                <w:szCs w:val="21"/>
                <w:highlight w:val="none"/>
              </w:rPr>
              <w:t>五</w:t>
            </w:r>
          </w:p>
        </w:tc>
        <w:tc>
          <w:tcPr>
            <w:tcW w:w="89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b/>
                <w:color w:val="auto"/>
                <w:szCs w:val="21"/>
                <w:highlight w:val="none"/>
              </w:rPr>
            </w:pPr>
            <w:r>
              <w:rPr>
                <w:rFonts w:hint="eastAsia" w:ascii="宋体" w:hAnsi="宋体" w:cs="宋体"/>
                <w:b/>
                <w:color w:val="auto"/>
                <w:szCs w:val="21"/>
                <w:highlight w:val="none"/>
              </w:rPr>
              <w:t>饭菜质量及份量（</w:t>
            </w:r>
            <w:r>
              <w:rPr>
                <w:rFonts w:hint="eastAsia" w:ascii="宋体" w:hAnsi="宋体" w:cs="宋体"/>
                <w:b/>
                <w:color w:val="auto"/>
                <w:szCs w:val="21"/>
                <w:highlight w:val="none"/>
                <w:lang w:val="en-US" w:eastAsia="zh-CN"/>
              </w:rPr>
              <w:t>30</w:t>
            </w:r>
            <w:r>
              <w:rPr>
                <w:rFonts w:hint="eastAsia" w:ascii="宋体" w:hAnsi="宋体" w:cs="宋体"/>
                <w:b/>
                <w:color w:val="auto"/>
                <w:szCs w:val="21"/>
                <w:highlight w:val="none"/>
              </w:rPr>
              <w:t>分）</w:t>
            </w:r>
          </w:p>
        </w:tc>
      </w:tr>
      <w:tr>
        <w:tblPrEx>
          <w:tblLayout w:type="fixed"/>
          <w:tblCellMar>
            <w:top w:w="0" w:type="dxa"/>
            <w:left w:w="108" w:type="dxa"/>
            <w:bottom w:w="0" w:type="dxa"/>
            <w:right w:w="108" w:type="dxa"/>
          </w:tblCellMar>
        </w:tblPrEx>
        <w:trPr>
          <w:trHeight w:val="1182"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一日三餐按时开餐，保证饭菜供应,早</w:t>
            </w:r>
            <w:r>
              <w:rPr>
                <w:rFonts w:hint="eastAsia" w:ascii="宋体" w:hAnsi="宋体" w:cs="宋体"/>
                <w:color w:val="auto"/>
                <w:szCs w:val="21"/>
                <w:highlight w:val="none"/>
                <w:lang w:eastAsia="zh-CN"/>
              </w:rPr>
              <w:t>餐</w:t>
            </w:r>
            <w:r>
              <w:rPr>
                <w:rFonts w:hint="eastAsia" w:ascii="宋体" w:hAnsi="宋体" w:cs="宋体"/>
                <w:color w:val="auto"/>
                <w:szCs w:val="21"/>
                <w:highlight w:val="none"/>
              </w:rPr>
              <w:t>品种不少于</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个，中餐品种不少于9个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不按时供应早、中、晚餐或各品种达不到数量要求的，每一项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832"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菜肴花色品种要定期翻新并公布,做到色香俱全饭菜质量好,得到大多数职工认可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员工对饭菜及其他食品的质量提出投诉意见的,每一人次</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67"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米饭软硬适中,夹生或隔天剩饭剩菜不允许上桌</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5</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出现夹生、剩饭或饭冷菜凉，每一次</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0.5分/项</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18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4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饭菜份量合理，质好量足，按照甲方提报的就餐人数，当日餐次食物剩余的量不超过5人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饭菜、包子、馒头等份量不足被投诉的，或按照甲方提报的就餐人数，加上服务人员7人的就餐量，剩余量超5人份，每一项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1分/次</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351"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b/>
                <w:color w:val="auto"/>
                <w:szCs w:val="21"/>
                <w:highlight w:val="none"/>
              </w:rPr>
            </w:pPr>
            <w:r>
              <w:rPr>
                <w:rFonts w:hint="eastAsia" w:ascii="宋体" w:hAnsi="宋体" w:cs="宋体"/>
                <w:b/>
                <w:color w:val="auto"/>
                <w:szCs w:val="21"/>
                <w:highlight w:val="none"/>
              </w:rPr>
              <w:t>六</w:t>
            </w:r>
          </w:p>
        </w:tc>
        <w:tc>
          <w:tcPr>
            <w:tcW w:w="8973"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b/>
                <w:color w:val="auto"/>
                <w:szCs w:val="21"/>
                <w:highlight w:val="none"/>
              </w:rPr>
            </w:pPr>
            <w:r>
              <w:rPr>
                <w:rFonts w:hint="eastAsia" w:ascii="宋体" w:hAnsi="宋体" w:cs="宋体"/>
                <w:b/>
                <w:color w:val="auto"/>
                <w:szCs w:val="21"/>
                <w:highlight w:val="none"/>
              </w:rPr>
              <w:t>水电管理（5分）</w:t>
            </w:r>
          </w:p>
        </w:tc>
      </w:tr>
      <w:tr>
        <w:tblPrEx>
          <w:tblLayout w:type="fixed"/>
          <w:tblCellMar>
            <w:top w:w="0" w:type="dxa"/>
            <w:left w:w="108" w:type="dxa"/>
            <w:bottom w:w="0" w:type="dxa"/>
            <w:right w:w="108" w:type="dxa"/>
          </w:tblCellMar>
        </w:tblPrEx>
        <w:trPr>
          <w:trHeight w:val="1055"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下班时必须关闭各水、电设备。杜绝长明灯、长流水的现象</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每发现一次扣0.5分，罚款50元。若造成火灾及其他事故，赔偿经济损失</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758"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使用拖把清理清扫，严禁长开水龙头冲洗地面和水沟。</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每发现一次扣0.5分，罚款50元</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78"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食堂的空调、音响、电视设备仅在就餐时使用，其余时间一律关闭</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2435"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未按规定的</w:t>
            </w:r>
          </w:p>
        </w:tc>
        <w:tc>
          <w:tcPr>
            <w:tcW w:w="90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0.3分/次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444"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b/>
                <w:color w:val="auto"/>
                <w:szCs w:val="21"/>
                <w:highlight w:val="none"/>
              </w:rPr>
            </w:pPr>
            <w:r>
              <w:rPr>
                <w:rFonts w:hint="eastAsia" w:ascii="宋体" w:hAnsi="宋体" w:cs="宋体"/>
                <w:b/>
                <w:color w:val="auto"/>
                <w:szCs w:val="21"/>
                <w:highlight w:val="none"/>
              </w:rPr>
              <w:t>七</w:t>
            </w:r>
          </w:p>
        </w:tc>
        <w:tc>
          <w:tcPr>
            <w:tcW w:w="8973"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ascii="宋体" w:hAnsi="宋体" w:cs="宋体"/>
                <w:b/>
                <w:color w:val="auto"/>
                <w:szCs w:val="21"/>
                <w:highlight w:val="none"/>
              </w:rPr>
            </w:pPr>
            <w:r>
              <w:rPr>
                <w:rFonts w:hint="eastAsia" w:ascii="宋体" w:hAnsi="宋体" w:cs="宋体"/>
                <w:b/>
                <w:color w:val="auto"/>
                <w:szCs w:val="21"/>
                <w:highlight w:val="none"/>
              </w:rPr>
              <w:t>安全管理（10分）</w:t>
            </w:r>
          </w:p>
        </w:tc>
      </w:tr>
      <w:tr>
        <w:tblPrEx>
          <w:tblLayout w:type="fixed"/>
          <w:tblCellMar>
            <w:top w:w="0" w:type="dxa"/>
            <w:left w:w="108" w:type="dxa"/>
            <w:bottom w:w="0" w:type="dxa"/>
            <w:right w:w="108" w:type="dxa"/>
          </w:tblCellMar>
        </w:tblPrEx>
        <w:trPr>
          <w:trHeight w:val="1109"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食堂内厨、仓库不许存放任何有毒性药品。对上级发放的灭鼠药要实行专人管理，严防食品和药物混串造成食物中毒事件发生</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未按规定的</w:t>
            </w: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767"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食堂用火用电设备有专人管理负责。炉灶旁不准堆放杂物和易燃易爆物品</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未按规定的</w:t>
            </w: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做好防火、防盗、防毒、防止一切事故的发生</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未按规定的</w:t>
            </w: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1分/次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587"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4266"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遵守安全法规，设备安全管理到位，做好安全教育及劳动保护工作</w:t>
            </w:r>
          </w:p>
        </w:tc>
        <w:tc>
          <w:tcPr>
            <w:tcW w:w="720"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4</w:t>
            </w: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设备设施存在安全隐患，每一项</w:t>
            </w: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0.5分/次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86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p>
        </w:tc>
        <w:tc>
          <w:tcPr>
            <w:tcW w:w="4266" w:type="dxa"/>
            <w:vMerge w:val="continue"/>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违反安全法规，责任心不强，发生安全事故的</w:t>
            </w: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视情节轻重扣分</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413"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jc w:val="center"/>
              <w:rPr>
                <w:rFonts w:ascii="宋体" w:hAnsi="宋体" w:cs="宋体"/>
                <w:b/>
                <w:color w:val="auto"/>
                <w:szCs w:val="21"/>
                <w:highlight w:val="none"/>
              </w:rPr>
            </w:pPr>
            <w:r>
              <w:rPr>
                <w:rFonts w:hint="eastAsia" w:ascii="宋体" w:hAnsi="宋体" w:cs="宋体"/>
                <w:b/>
                <w:color w:val="auto"/>
                <w:szCs w:val="21"/>
                <w:highlight w:val="none"/>
              </w:rPr>
              <w:t>八</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b/>
                <w:color w:val="auto"/>
                <w:szCs w:val="21"/>
                <w:highlight w:val="none"/>
              </w:rPr>
            </w:pPr>
            <w:r>
              <w:rPr>
                <w:rFonts w:hint="eastAsia" w:ascii="宋体" w:hAnsi="宋体" w:cs="宋体"/>
                <w:b/>
                <w:color w:val="auto"/>
                <w:szCs w:val="21"/>
                <w:highlight w:val="none"/>
              </w:rPr>
              <w:t>合理投诉次数（10分）</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p>
        </w:tc>
      </w:tr>
      <w:tr>
        <w:tblPrEx>
          <w:tblLayout w:type="fixed"/>
          <w:tblCellMar>
            <w:top w:w="0" w:type="dxa"/>
            <w:left w:w="108" w:type="dxa"/>
            <w:bottom w:w="0" w:type="dxa"/>
            <w:right w:w="108" w:type="dxa"/>
          </w:tblCellMar>
        </w:tblPrEx>
        <w:trPr>
          <w:trHeight w:val="835"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r>
              <w:rPr>
                <w:rFonts w:hint="eastAsia" w:ascii="宋体" w:hAnsi="宋体" w:cs="宋体"/>
                <w:color w:val="auto"/>
                <w:szCs w:val="21"/>
                <w:highlight w:val="none"/>
              </w:rPr>
              <w:t xml:space="preserve">  1</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宋体" w:hAnsi="宋体" w:cs="宋体"/>
                <w:color w:val="auto"/>
                <w:szCs w:val="21"/>
                <w:highlight w:val="none"/>
              </w:rPr>
            </w:pPr>
            <w:r>
              <w:rPr>
                <w:rFonts w:hint="eastAsia" w:ascii="宋体" w:hAnsi="宋体" w:cs="宋体"/>
                <w:color w:val="auto"/>
                <w:szCs w:val="21"/>
                <w:highlight w:val="none"/>
              </w:rPr>
              <w:t>接到合理投诉</w:t>
            </w: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10</w:t>
            </w: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宋体" w:hAnsi="宋体" w:cs="宋体"/>
                <w:color w:val="auto"/>
                <w:szCs w:val="21"/>
                <w:highlight w:val="none"/>
              </w:rPr>
            </w:pPr>
            <w:r>
              <w:rPr>
                <w:rFonts w:hint="eastAsia" w:ascii="宋体" w:hAnsi="宋体" w:cs="宋体"/>
                <w:color w:val="auto"/>
                <w:szCs w:val="21"/>
                <w:highlight w:val="none"/>
              </w:rPr>
              <w:t>食品卫生、服务态度等方面投诉，一经调查确为乙方责任</w:t>
            </w: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cs="宋体"/>
                <w:color w:val="auto"/>
                <w:szCs w:val="21"/>
                <w:highlight w:val="none"/>
              </w:rPr>
            </w:pPr>
            <w:r>
              <w:rPr>
                <w:rFonts w:hint="eastAsia" w:ascii="宋体" w:hAnsi="宋体" w:cs="宋体"/>
                <w:color w:val="auto"/>
                <w:szCs w:val="21"/>
                <w:highlight w:val="none"/>
              </w:rPr>
              <w:t>2分/次</w:t>
            </w: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413" w:hRule="atLeast"/>
          <w:jc w:val="center"/>
        </w:trPr>
        <w:tc>
          <w:tcPr>
            <w:tcW w:w="64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r>
              <w:rPr>
                <w:rFonts w:hint="eastAsia" w:ascii="宋体" w:hAnsi="宋体" w:cs="宋体"/>
                <w:color w:val="auto"/>
                <w:szCs w:val="21"/>
                <w:highlight w:val="none"/>
              </w:rPr>
              <w:t>合计</w:t>
            </w:r>
          </w:p>
        </w:tc>
        <w:tc>
          <w:tcPr>
            <w:tcW w:w="426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p>
        </w:tc>
        <w:tc>
          <w:tcPr>
            <w:tcW w:w="238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p>
        </w:tc>
        <w:tc>
          <w:tcPr>
            <w:tcW w:w="952"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ascii="宋体" w:hAnsi="宋体" w:cs="宋体"/>
                <w:color w:val="auto"/>
                <w:szCs w:val="21"/>
                <w:highlight w:val="none"/>
              </w:rPr>
            </w:pPr>
          </w:p>
        </w:tc>
        <w:tc>
          <w:tcPr>
            <w:tcW w:w="64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p>
        </w:tc>
      </w:tr>
      <w:tr>
        <w:tblPrEx>
          <w:tblLayout w:type="fixed"/>
          <w:tblCellMar>
            <w:top w:w="0" w:type="dxa"/>
            <w:left w:w="108" w:type="dxa"/>
            <w:bottom w:w="0" w:type="dxa"/>
            <w:right w:w="108" w:type="dxa"/>
          </w:tblCellMar>
        </w:tblPrEx>
        <w:trPr>
          <w:trHeight w:val="622" w:hRule="atLeast"/>
          <w:jc w:val="center"/>
        </w:trPr>
        <w:tc>
          <w:tcPr>
            <w:tcW w:w="9620" w:type="dxa"/>
            <w:gridSpan w:val="7"/>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napToGrid w:val="0"/>
              <w:spacing w:line="200" w:lineRule="exact"/>
              <w:ind w:firstLine="4830" w:firstLineChars="23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考核结果：</w:t>
            </w:r>
          </w:p>
        </w:tc>
      </w:tr>
    </w:tbl>
    <w:p>
      <w:pPr>
        <w:pStyle w:val="2"/>
        <w:rPr>
          <w:rFonts w:hint="eastAsia"/>
          <w:color w:val="auto"/>
          <w:highlight w:val="none"/>
          <w:lang w:eastAsia="zh-CN"/>
        </w:rPr>
      </w:pPr>
    </w:p>
    <w:p>
      <w:pPr>
        <w:spacing w:line="560" w:lineRule="exact"/>
        <w:ind w:firstLine="527"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（八）其他约定</w:t>
      </w:r>
      <w:r>
        <w:rPr>
          <w:rFonts w:hint="eastAsia" w:asciiTheme="minorEastAsia" w:hAnsiTheme="minorEastAsia" w:eastAsiaTheme="minorEastAsia" w:cstheme="minorEastAsia"/>
          <w:b/>
          <w:bCs/>
          <w:color w:val="auto"/>
          <w:kern w:val="0"/>
          <w:sz w:val="21"/>
          <w:szCs w:val="21"/>
          <w:highlight w:val="none"/>
          <w:lang w:eastAsia="zh-CN"/>
        </w:rPr>
        <w:t>（作为合同条款的部分内容）</w:t>
      </w:r>
      <w:r>
        <w:rPr>
          <w:rFonts w:hint="eastAsia" w:asciiTheme="minorEastAsia" w:hAnsiTheme="minorEastAsia" w:eastAsiaTheme="minorEastAsia" w:cstheme="minorEastAsia"/>
          <w:color w:val="auto"/>
          <w:kern w:val="0"/>
          <w:sz w:val="21"/>
          <w:szCs w:val="21"/>
          <w:highlight w:val="none"/>
        </w:rPr>
        <w:t xml:space="preserve">                        </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1. </w:t>
      </w:r>
      <w:r>
        <w:rPr>
          <w:rFonts w:hint="eastAsia" w:asciiTheme="minorEastAsia" w:hAnsiTheme="minorEastAsia" w:eastAsiaTheme="minorEastAsia" w:cstheme="minorEastAsia"/>
          <w:color w:val="auto"/>
          <w:kern w:val="0"/>
          <w:sz w:val="21"/>
          <w:szCs w:val="21"/>
          <w:highlight w:val="none"/>
          <w:lang w:eastAsia="zh-CN"/>
        </w:rPr>
        <w:t>签订合同后，甲乙</w:t>
      </w:r>
      <w:r>
        <w:rPr>
          <w:rFonts w:hint="eastAsia" w:asciiTheme="minorEastAsia" w:hAnsiTheme="minorEastAsia" w:eastAsiaTheme="minorEastAsia" w:cstheme="minorEastAsia"/>
          <w:color w:val="auto"/>
          <w:kern w:val="0"/>
          <w:sz w:val="21"/>
          <w:szCs w:val="21"/>
          <w:highlight w:val="none"/>
        </w:rPr>
        <w:t xml:space="preserve">双方应互相支持，密切合作，认真履行协议规定的内容，如遇未尽事宜，双方应当通过友好协商解决。协商不成的，双方均可向甲方所在地有管辖权法院提起诉讼。                                      </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2. 在合同执行期内，</w:t>
      </w:r>
      <w:r>
        <w:rPr>
          <w:rFonts w:hint="eastAsia" w:asciiTheme="minorEastAsia" w:hAnsiTheme="minorEastAsia" w:eastAsiaTheme="minorEastAsia" w:cstheme="minorEastAsia"/>
          <w:color w:val="auto"/>
          <w:kern w:val="0"/>
          <w:sz w:val="21"/>
          <w:szCs w:val="21"/>
          <w:highlight w:val="none"/>
          <w:lang w:eastAsia="zh-CN"/>
        </w:rPr>
        <w:t>甲方</w:t>
      </w:r>
      <w:r>
        <w:rPr>
          <w:rFonts w:hint="eastAsia" w:asciiTheme="minorEastAsia" w:hAnsiTheme="minorEastAsia" w:eastAsiaTheme="minorEastAsia" w:cstheme="minorEastAsia"/>
          <w:color w:val="auto"/>
          <w:kern w:val="0"/>
          <w:sz w:val="21"/>
          <w:szCs w:val="21"/>
          <w:highlight w:val="none"/>
        </w:rPr>
        <w:t>对</w:t>
      </w:r>
      <w:r>
        <w:rPr>
          <w:rFonts w:hint="eastAsia" w:asciiTheme="minorEastAsia" w:hAnsiTheme="minorEastAsia" w:eastAsiaTheme="minorEastAsia" w:cstheme="minorEastAsia"/>
          <w:color w:val="auto"/>
          <w:kern w:val="0"/>
          <w:sz w:val="21"/>
          <w:szCs w:val="21"/>
          <w:highlight w:val="none"/>
          <w:lang w:eastAsia="zh-CN"/>
        </w:rPr>
        <w:t>乙方</w:t>
      </w:r>
      <w:r>
        <w:rPr>
          <w:rFonts w:hint="eastAsia" w:asciiTheme="minorEastAsia" w:hAnsiTheme="minorEastAsia" w:eastAsiaTheme="minorEastAsia" w:cstheme="minorEastAsia"/>
          <w:color w:val="auto"/>
          <w:kern w:val="0"/>
          <w:sz w:val="21"/>
          <w:szCs w:val="21"/>
          <w:highlight w:val="none"/>
        </w:rPr>
        <w:t>的食品加工及餐厅</w:t>
      </w:r>
      <w:r>
        <w:rPr>
          <w:rFonts w:hint="eastAsia" w:asciiTheme="minorEastAsia" w:hAnsiTheme="minorEastAsia" w:eastAsiaTheme="minorEastAsia" w:cstheme="minorEastAsia"/>
          <w:color w:val="auto"/>
          <w:kern w:val="0"/>
          <w:sz w:val="21"/>
          <w:szCs w:val="21"/>
          <w:highlight w:val="none"/>
          <w:lang w:eastAsia="zh-CN"/>
        </w:rPr>
        <w:t>服务质量满意率达不到80%（含80%）以上（以满分100分为准，乙方考核得分低于80分为不及格），采购人</w:t>
      </w:r>
      <w:r>
        <w:rPr>
          <w:rFonts w:hint="eastAsia" w:asciiTheme="minorEastAsia" w:hAnsiTheme="minorEastAsia" w:eastAsiaTheme="minorEastAsia" w:cstheme="minorEastAsia"/>
          <w:color w:val="auto"/>
          <w:kern w:val="0"/>
          <w:sz w:val="21"/>
          <w:szCs w:val="21"/>
          <w:highlight w:val="none"/>
        </w:rPr>
        <w:t>可以终止合同</w:t>
      </w:r>
      <w:r>
        <w:rPr>
          <w:rFonts w:hint="eastAsia" w:asciiTheme="minorEastAsia" w:hAnsiTheme="minorEastAsia" w:eastAsiaTheme="minorEastAsia" w:cstheme="minorEastAsia"/>
          <w:color w:val="auto"/>
          <w:kern w:val="0"/>
          <w:sz w:val="21"/>
          <w:szCs w:val="21"/>
          <w:highlight w:val="none"/>
          <w:lang w:eastAsia="zh-CN"/>
        </w:rPr>
        <w:t>。</w:t>
      </w:r>
    </w:p>
    <w:p>
      <w:pPr>
        <w:spacing w:line="560" w:lineRule="exact"/>
        <w:ind w:firstLine="525" w:firstLineChars="250"/>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3、服务期间</w:t>
      </w:r>
      <w:r>
        <w:rPr>
          <w:rFonts w:hint="eastAsia" w:asciiTheme="minorEastAsia" w:hAnsiTheme="minorEastAsia" w:eastAsiaTheme="minorEastAsia" w:cstheme="minorEastAsia"/>
          <w:color w:val="auto"/>
          <w:sz w:val="21"/>
          <w:szCs w:val="21"/>
          <w:highlight w:val="none"/>
          <w:lang w:eastAsia="zh-CN"/>
        </w:rPr>
        <w:t>因履行条件发生变动（例如时间和人员的变动）</w:t>
      </w:r>
      <w:r>
        <w:rPr>
          <w:rFonts w:hint="eastAsia" w:asciiTheme="minorEastAsia" w:hAnsiTheme="minorEastAsia" w:eastAsiaTheme="minorEastAsia" w:cstheme="minorEastAsia"/>
          <w:color w:val="auto"/>
          <w:kern w:val="0"/>
          <w:sz w:val="21"/>
          <w:szCs w:val="21"/>
          <w:highlight w:val="none"/>
          <w:lang w:eastAsia="zh-CN"/>
        </w:rPr>
        <w:t>，双方通过签订补充协议来进行调整。</w:t>
      </w:r>
    </w:p>
    <w:p>
      <w:pPr>
        <w:spacing w:line="560" w:lineRule="exact"/>
        <w:ind w:firstLine="0" w:firstLineChars="0"/>
        <w:rPr>
          <w:rFonts w:hint="eastAsia" w:ascii="宋体" w:hAnsi="宋体" w:eastAsia="宋体" w:cs="宋体"/>
          <w:b/>
          <w:bCs/>
          <w:color w:val="auto"/>
          <w:kern w:val="0"/>
          <w:sz w:val="22"/>
          <w:szCs w:val="22"/>
          <w:highlight w:val="none"/>
          <w:lang w:val="en-US" w:eastAsia="zh-CN"/>
        </w:rPr>
      </w:pPr>
    </w:p>
    <w:p>
      <w:pPr>
        <w:pStyle w:val="2"/>
        <w:rPr>
          <w:rFonts w:hint="default" w:asciiTheme="minorEastAsia" w:hAnsiTheme="minorEastAsia" w:eastAsiaTheme="minorEastAsia" w:cstheme="minorEastAsia"/>
          <w:b/>
          <w:color w:val="auto"/>
          <w:sz w:val="24"/>
          <w:szCs w:val="24"/>
          <w:highlight w:val="none"/>
          <w:lang w:val="en-US"/>
        </w:rPr>
      </w:pPr>
    </w:p>
    <w:p>
      <w:pPr>
        <w:pStyle w:val="2"/>
        <w:rPr>
          <w:rFonts w:hint="default" w:asciiTheme="minorEastAsia" w:hAnsiTheme="minorEastAsia" w:eastAsiaTheme="minorEastAsia" w:cstheme="minorEastAsia"/>
          <w:b/>
          <w:color w:val="auto"/>
          <w:sz w:val="24"/>
          <w:szCs w:val="24"/>
          <w:highlight w:val="none"/>
          <w:lang w:val="en-US"/>
        </w:rPr>
      </w:pPr>
    </w:p>
    <w:p>
      <w:pPr>
        <w:pStyle w:val="9"/>
        <w:jc w:val="center"/>
        <w:rPr>
          <w:rFonts w:hint="eastAsia" w:asciiTheme="minorEastAsia" w:hAnsiTheme="minorEastAsia" w:eastAsiaTheme="minorEastAsia" w:cstheme="minorEastAsia"/>
          <w:b/>
          <w:bCs/>
          <w:color w:val="auto"/>
          <w:sz w:val="28"/>
          <w:szCs w:val="22"/>
          <w:highlight w:val="none"/>
          <w:lang w:val="en-US" w:eastAsia="zh-CN"/>
        </w:rPr>
      </w:pPr>
      <w:r>
        <w:rPr>
          <w:rFonts w:hint="eastAsia" w:asciiTheme="minorEastAsia" w:hAnsiTheme="minorEastAsia" w:eastAsiaTheme="minorEastAsia" w:cstheme="minorEastAsia"/>
          <w:b/>
          <w:bCs/>
          <w:color w:val="auto"/>
          <w:sz w:val="28"/>
          <w:szCs w:val="22"/>
          <w:highlight w:val="none"/>
          <w:lang w:val="en-US" w:eastAsia="zh-CN"/>
        </w:rPr>
        <w:t>第二节  商务条款要求</w:t>
      </w:r>
    </w:p>
    <w:p>
      <w:pPr>
        <w:pStyle w:val="9"/>
        <w:jc w:val="center"/>
        <w:rPr>
          <w:rFonts w:hint="default" w:asciiTheme="minorEastAsia" w:hAnsiTheme="minorEastAsia" w:eastAsiaTheme="minorEastAsia" w:cstheme="minorEastAsia"/>
          <w:b/>
          <w:bCs/>
          <w:color w:val="auto"/>
          <w:sz w:val="28"/>
          <w:szCs w:val="22"/>
          <w:highlight w:val="none"/>
          <w:lang w:val="en-US" w:eastAsia="zh-CN"/>
        </w:rPr>
      </w:pPr>
    </w:p>
    <w:bookmarkEnd w:id="1"/>
    <w:p>
      <w:pPr>
        <w:numPr>
          <w:ilvl w:val="0"/>
          <w:numId w:val="0"/>
        </w:numPr>
        <w:spacing w:line="360" w:lineRule="auto"/>
        <w:ind w:firstLine="0" w:firstLineChars="0"/>
        <w:rPr>
          <w:rFonts w:hint="eastAsia" w:asciiTheme="minorEastAsia" w:hAnsiTheme="minorEastAsia" w:eastAsiaTheme="minorEastAsia" w:cstheme="minorEastAsia"/>
          <w:color w:val="auto"/>
          <w:sz w:val="24"/>
          <w:szCs w:val="24"/>
          <w:highlight w:val="none"/>
          <w:lang w:val="en-US" w:eastAsia="zh-CN"/>
        </w:rPr>
      </w:pPr>
    </w:p>
    <w:p>
      <w:pPr>
        <w:numPr>
          <w:ilvl w:val="0"/>
          <w:numId w:val="0"/>
        </w:numPr>
        <w:spacing w:line="360" w:lineRule="auto"/>
        <w:ind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一、付款方式</w:t>
      </w:r>
    </w:p>
    <w:p>
      <w:pPr>
        <w:pStyle w:val="2"/>
        <w:spacing w:line="360" w:lineRule="auto"/>
        <w:rPr>
          <w:rFonts w:hint="eastAsia"/>
          <w:color w:val="auto"/>
          <w:sz w:val="20"/>
          <w:szCs w:val="22"/>
          <w:highlight w:val="none"/>
          <w:lang w:val="en-US" w:eastAsia="zh-CN"/>
        </w:rPr>
      </w:pPr>
      <w:r>
        <w:rPr>
          <w:rFonts w:hint="eastAsia"/>
          <w:color w:val="auto"/>
          <w:sz w:val="20"/>
          <w:szCs w:val="22"/>
          <w:highlight w:val="none"/>
          <w:lang w:val="en-US" w:eastAsia="zh-CN"/>
        </w:rPr>
        <w:t xml:space="preserve">      </w:t>
      </w:r>
      <w:r>
        <w:rPr>
          <w:rFonts w:hint="eastAsia"/>
          <w:color w:val="auto"/>
          <w:sz w:val="21"/>
          <w:szCs w:val="21"/>
          <w:highlight w:val="none"/>
          <w:lang w:val="en-US" w:eastAsia="zh-CN"/>
        </w:rPr>
        <w:t>采购人每月付一次款，付款金额为合同每年价的十二分之一。甲方每月初出具双方确认的对乙方上月的服务检查结果，从总额中扣除乙方违约责任的扣款，并在收到乙方开具的合法有效发票后十五个工作日内，以转账方式支付上月劳务费用。</w:t>
      </w:r>
    </w:p>
    <w:p>
      <w:pPr>
        <w:pStyle w:val="2"/>
        <w:spacing w:line="360" w:lineRule="auto"/>
        <w:rPr>
          <w:rFonts w:hint="default"/>
          <w:color w:val="auto"/>
          <w:sz w:val="20"/>
          <w:szCs w:val="22"/>
          <w:highlight w:val="none"/>
          <w:lang w:val="en-US" w:eastAsia="zh-CN"/>
        </w:rPr>
      </w:pPr>
    </w:p>
    <w:p>
      <w:pPr>
        <w:numPr>
          <w:ilvl w:val="0"/>
          <w:numId w:val="0"/>
        </w:numPr>
        <w:spacing w:line="360" w:lineRule="auto"/>
        <w:ind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二、履约保证金</w:t>
      </w:r>
    </w:p>
    <w:p>
      <w:pPr>
        <w:pStyle w:val="3"/>
        <w:pageBreakBefore w:val="0"/>
        <w:widowControl w:val="0"/>
        <w:kinsoku/>
        <w:wordWrap/>
        <w:overflowPunct/>
        <w:topLinePunct w:val="0"/>
        <w:bidi w:val="0"/>
        <w:adjustRightInd/>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要求</w:t>
      </w:r>
      <w:r>
        <w:rPr>
          <w:rFonts w:hint="eastAsia" w:asciiTheme="minorEastAsia" w:hAnsiTheme="minorEastAsia" w:eastAsiaTheme="minorEastAsia" w:cstheme="minorEastAsia"/>
          <w:color w:val="auto"/>
          <w:sz w:val="21"/>
          <w:szCs w:val="21"/>
          <w:highlight w:val="none"/>
          <w:lang w:val="en-US" w:eastAsia="zh-CN"/>
        </w:rPr>
        <w:t>成交人</w:t>
      </w:r>
      <w:r>
        <w:rPr>
          <w:rFonts w:hint="eastAsia" w:asciiTheme="minorEastAsia" w:hAnsiTheme="minorEastAsia" w:eastAsiaTheme="minorEastAsia" w:cstheme="minorEastAsia"/>
          <w:color w:val="auto"/>
          <w:sz w:val="21"/>
          <w:szCs w:val="21"/>
          <w:highlight w:val="none"/>
          <w:lang w:eastAsia="zh-CN"/>
        </w:rPr>
        <w:t>提供</w:t>
      </w:r>
      <w:r>
        <w:rPr>
          <w:rFonts w:hint="eastAsia" w:asciiTheme="minorEastAsia" w:hAnsiTheme="minorEastAsia" w:eastAsiaTheme="minorEastAsia" w:cstheme="minorEastAsia"/>
          <w:color w:val="auto"/>
          <w:sz w:val="21"/>
          <w:szCs w:val="21"/>
          <w:highlight w:val="none"/>
          <w:lang w:val="en-US" w:eastAsia="zh-CN"/>
        </w:rPr>
        <w:t>合同金额</w:t>
      </w:r>
      <w:r>
        <w:rPr>
          <w:rFonts w:hint="eastAsia" w:asciiTheme="minorEastAsia" w:hAnsiTheme="minorEastAsia" w:eastAsiaTheme="minorEastAsia" w:cstheme="minorEastAsia"/>
          <w:color w:val="auto"/>
          <w:sz w:val="21"/>
          <w:szCs w:val="21"/>
          <w:highlight w:val="none"/>
          <w:lang w:eastAsia="zh-CN"/>
        </w:rPr>
        <w:t>的</w:t>
      </w:r>
      <w:r>
        <w:rPr>
          <w:rFonts w:hint="eastAsia" w:asciiTheme="minorEastAsia" w:hAnsiTheme="minorEastAsia" w:eastAsiaTheme="minorEastAsia" w:cstheme="minorEastAsia"/>
          <w:color w:val="auto"/>
          <w:sz w:val="21"/>
          <w:szCs w:val="21"/>
          <w:highlight w:val="none"/>
          <w:u w:val="single"/>
          <w:lang w:val="en-US" w:eastAsia="zh-CN"/>
        </w:rPr>
        <w:t xml:space="preserve"> 2</w:t>
      </w:r>
      <w:r>
        <w:rPr>
          <w:rFonts w:hint="eastAsia" w:asciiTheme="minorEastAsia" w:hAnsiTheme="minorEastAsia" w:eastAsiaTheme="minorEastAsia" w:cstheme="minorEastAsia"/>
          <w:color w:val="auto"/>
          <w:sz w:val="21"/>
          <w:szCs w:val="21"/>
          <w:highlight w:val="none"/>
          <w:lang w:eastAsia="zh-CN"/>
        </w:rPr>
        <w:t>%（取整到元），</w:t>
      </w:r>
      <w:r>
        <w:rPr>
          <w:rFonts w:hint="eastAsia" w:asciiTheme="minorEastAsia" w:hAnsiTheme="minorEastAsia" w:eastAsiaTheme="minorEastAsia" w:cstheme="minorEastAsia"/>
          <w:bCs/>
          <w:color w:val="auto"/>
          <w:kern w:val="2"/>
          <w:sz w:val="21"/>
          <w:szCs w:val="21"/>
          <w:highlight w:val="none"/>
          <w:lang w:val="en-US" w:eastAsia="zh-CN" w:bidi="ar-SA"/>
        </w:rPr>
        <w:t>提交方式为支票、汇票、本票或者金融机构、担保机构出具的保函等非现金形式，成交供应商在签订合同前应提交履约保证金，否则，不予签订合同。采用转账、电汇方式的，由成交供应商在签订合同前按规定的金额从成交供应商银行账户直接缴入采购人账户。</w:t>
      </w:r>
      <w:r>
        <w:rPr>
          <w:rFonts w:hint="eastAsia" w:cs="宋体"/>
          <w:color w:val="auto"/>
          <w:sz w:val="21"/>
          <w:szCs w:val="21"/>
          <w:highlight w:val="none"/>
          <w:lang w:eastAsia="zh-CN"/>
        </w:rPr>
        <w:t>项目验收合格的</w:t>
      </w:r>
      <w:r>
        <w:rPr>
          <w:rFonts w:hint="eastAsia" w:cs="宋体"/>
          <w:color w:val="auto"/>
          <w:sz w:val="21"/>
          <w:szCs w:val="21"/>
          <w:highlight w:val="none"/>
        </w:rPr>
        <w:t>，采购人在收到成交供应商提出申请的30日内无息返还</w:t>
      </w:r>
      <w:r>
        <w:rPr>
          <w:rFonts w:hint="eastAsia" w:hAnsi="宋体"/>
          <w:color w:val="auto"/>
          <w:sz w:val="21"/>
          <w:szCs w:val="21"/>
          <w:highlight w:val="none"/>
        </w:rPr>
        <w:t>履约保证金</w:t>
      </w:r>
      <w:r>
        <w:rPr>
          <w:rFonts w:hint="eastAsia" w:cs="宋体"/>
          <w:color w:val="auto"/>
          <w:sz w:val="21"/>
          <w:szCs w:val="21"/>
          <w:highlight w:val="none"/>
        </w:rPr>
        <w:t>；</w:t>
      </w:r>
      <w:r>
        <w:rPr>
          <w:rFonts w:hint="eastAsia"/>
          <w:color w:val="auto"/>
          <w:sz w:val="21"/>
          <w:szCs w:val="21"/>
          <w:highlight w:val="none"/>
        </w:rPr>
        <w:t>采购人如逾期退还</w:t>
      </w:r>
      <w:r>
        <w:rPr>
          <w:rFonts w:hint="eastAsia" w:hAnsi="宋体"/>
          <w:color w:val="auto"/>
          <w:sz w:val="21"/>
          <w:szCs w:val="21"/>
          <w:highlight w:val="none"/>
        </w:rPr>
        <w:t>履约保证金</w:t>
      </w:r>
      <w:r>
        <w:rPr>
          <w:rFonts w:hint="eastAsia"/>
          <w:color w:val="auto"/>
          <w:sz w:val="21"/>
          <w:szCs w:val="21"/>
          <w:highlight w:val="none"/>
        </w:rPr>
        <w:t>，每逾期一天，可按应退款项的</w:t>
      </w:r>
      <w:r>
        <w:rPr>
          <w:rFonts w:ascii="Arial" w:hAnsi="Arial" w:cs="Arial"/>
          <w:color w:val="auto"/>
          <w:sz w:val="21"/>
          <w:szCs w:val="21"/>
          <w:highlight w:val="none"/>
          <w:shd w:val="clear" w:color="auto" w:fill="FFFFFF"/>
        </w:rPr>
        <w:t>银行同期存款利息</w:t>
      </w:r>
      <w:r>
        <w:rPr>
          <w:rFonts w:hint="eastAsia" w:hAnsi="宋体"/>
          <w:color w:val="auto"/>
          <w:sz w:val="21"/>
          <w:szCs w:val="21"/>
          <w:highlight w:val="none"/>
        </w:rPr>
        <w:t>计算违约金</w:t>
      </w:r>
      <w:r>
        <w:rPr>
          <w:rFonts w:hint="eastAsia"/>
          <w:color w:val="auto"/>
          <w:sz w:val="21"/>
          <w:szCs w:val="21"/>
          <w:highlight w:val="none"/>
        </w:rPr>
        <w:t>；</w:t>
      </w:r>
      <w:r>
        <w:rPr>
          <w:rFonts w:hint="eastAsia" w:cs="宋体"/>
          <w:color w:val="auto"/>
          <w:sz w:val="21"/>
          <w:szCs w:val="21"/>
          <w:highlight w:val="none"/>
          <w:lang w:eastAsia="zh-CN"/>
        </w:rPr>
        <w:t>项目验收不合格的</w:t>
      </w:r>
      <w:r>
        <w:rPr>
          <w:rFonts w:hint="eastAsia" w:cs="宋体"/>
          <w:color w:val="auto"/>
          <w:sz w:val="21"/>
          <w:szCs w:val="21"/>
          <w:highlight w:val="none"/>
        </w:rPr>
        <w:t>，</w:t>
      </w:r>
      <w:r>
        <w:rPr>
          <w:rFonts w:hint="eastAsia" w:hAnsi="宋体"/>
          <w:color w:val="auto"/>
          <w:sz w:val="21"/>
          <w:szCs w:val="21"/>
          <w:highlight w:val="none"/>
        </w:rPr>
        <w:t>履约保证金</w:t>
      </w:r>
      <w:r>
        <w:rPr>
          <w:rFonts w:hint="eastAsia"/>
          <w:color w:val="auto"/>
          <w:sz w:val="21"/>
          <w:szCs w:val="21"/>
          <w:highlight w:val="none"/>
        </w:rPr>
        <w:t>不予退还。</w:t>
      </w:r>
    </w:p>
    <w:p/>
    <w:sectPr>
      <w:headerReference r:id="rId4" w:type="first"/>
      <w:footerReference r:id="rId7" w:type="first"/>
      <w:headerReference r:id="rId3" w:type="default"/>
      <w:footerReference r:id="rId5" w:type="default"/>
      <w:footerReference r:id="rId6" w:type="even"/>
      <w:pgSz w:w="11906" w:h="16838"/>
      <w:pgMar w:top="1134" w:right="1134" w:bottom="1134" w:left="1134" w:header="680" w:footer="680" w:gutter="0"/>
      <w:pgNumType w:fmt="decimal"/>
      <w:cols w:space="72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RKRFbIB&#10;AABOAwAADgAAAAAAAAABACAAAAAeAQAAZHJzL2Uyb0RvYy54bWxQSwUGAAAAAAYABgBZAQAAQgUA&#10;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0</wp:posOffset>
              </wp:positionV>
              <wp:extent cx="55880" cy="147955"/>
              <wp:effectExtent l="0" t="0" r="0" b="0"/>
              <wp:wrapSquare wrapText="bothSides"/>
              <wp:docPr id="1" name="文本框 1025"/>
              <wp:cNvGraphicFramePr/>
              <a:graphic xmlns:a="http://schemas.openxmlformats.org/drawingml/2006/main">
                <a:graphicData uri="http://schemas.microsoft.com/office/word/2010/wordprocessingShape">
                  <wps:wsp>
                    <wps:cNvSpPr txBox="1"/>
                    <wps:spPr>
                      <a:xfrm>
                        <a:off x="0" y="0"/>
                        <a:ext cx="55880" cy="147955"/>
                      </a:xfrm>
                      <a:prstGeom prst="rect">
                        <a:avLst/>
                      </a:prstGeom>
                      <a:noFill/>
                      <a:ln>
                        <a:noFill/>
                      </a:ln>
                    </wps:spPr>
                    <wps:txbx>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wps:txbx>
                    <wps:bodyPr lIns="0" tIns="0" rIns="0" bIns="0" upright="1"/>
                  </wps:wsp>
                </a:graphicData>
              </a:graphic>
            </wp:anchor>
          </w:drawing>
        </mc:Choice>
        <mc:Fallback>
          <w:pict>
            <v:shape id="文本框 1025" o:spid="_x0000_s1026" o:spt="202" type="#_x0000_t202" style="position:absolute;left:0pt;margin-top:0pt;height:11.65pt;width:4.4pt;mso-position-horizontal:center;mso-position-horizontal-relative:margin;mso-wrap-distance-bottom:0pt;mso-wrap-distance-left:0pt;mso-wrap-distance-right:0pt;mso-wrap-distance-top:0pt;z-index:251659264;mso-width-relative:page;mso-height-relative:page;" filled="f" stroked="f" coordsize="21600,21600" o:allowincell="f" o:gfxdata="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VoKqm0wAAAAIBAAAPAAAAAAAAAAEAIAAA&#10;ACIAAABkcnMvZG93bnJldi54bWxQSwECFAAUAAAACACHTuJAhQpI0p8BAAAlAwAADgAAAAAAAAAB&#10;ACAAAAAiAQAAZHJzL2Uyb0RvYy54bWxQSwUGAAAAAAYABgBZAQAAMwUAAAAA&#10;">
              <v:fill on="f" focussize="0,0"/>
              <v:stroke on="f"/>
              <v:imagedata o:title=""/>
              <o:lock v:ext="edit" aspectratio="f"/>
              <v:textbox inset="0mm,0mm,0mm,0mm">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MsatOewAQAA&#10;TgMAAA4AAAAAAAAAAQAgAAAAHgEAAGRycy9lMm9Eb2MueG1sUEsFBgAAAAAGAAYAWQEAAEAFAAAA&#10;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1980"/>
      <w:jc w:val="right"/>
      <w:rPr>
        <w:rFonts w:ascii="方正仿宋简体" w:hAnsi="方正仿宋简体" w:eastAsia="方正仿宋简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97A48"/>
    <w:rsid w:val="18697A48"/>
    <w:rsid w:val="7A0B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Plain Text"/>
    <w:basedOn w:val="1"/>
    <w:next w:val="1"/>
    <w:qFormat/>
    <w:uiPriority w:val="0"/>
    <w:rPr>
      <w:rFonts w:ascii="宋体"/>
      <w:kern w:val="0"/>
      <w:sz w:val="20"/>
      <w:szCs w:val="20"/>
    </w:rPr>
  </w:style>
  <w:style w:type="paragraph" w:styleId="4">
    <w:name w:val="footer"/>
    <w:basedOn w:val="1"/>
    <w:qFormat/>
    <w:uiPriority w:val="99"/>
    <w:pPr>
      <w:tabs>
        <w:tab w:val="center" w:pos="4153"/>
        <w:tab w:val="right" w:pos="8306"/>
      </w:tabs>
      <w:snapToGrid w:val="0"/>
      <w:jc w:val="left"/>
    </w:pPr>
    <w:rPr>
      <w:rFonts w:ascii="宋体"/>
      <w:kern w:val="0"/>
      <w:sz w:val="18"/>
      <w:szCs w:val="20"/>
    </w:rPr>
  </w:style>
  <w:style w:type="paragraph" w:styleId="5">
    <w:name w:val="header"/>
    <w:basedOn w:val="1"/>
    <w:qFormat/>
    <w:uiPriority w:val="99"/>
    <w:pPr>
      <w:pBdr>
        <w:bottom w:val="single" w:color="auto" w:sz="6" w:space="1"/>
      </w:pBdr>
      <w:tabs>
        <w:tab w:val="center" w:pos="4153"/>
        <w:tab w:val="right" w:pos="8306"/>
      </w:tabs>
      <w:snapToGrid w:val="0"/>
      <w:jc w:val="center"/>
    </w:pPr>
    <w:rPr>
      <w:rFonts w:ascii="宋体" w:eastAsia="华文新魏"/>
      <w:sz w:val="18"/>
      <w:szCs w:val="20"/>
    </w:rPr>
  </w:style>
  <w:style w:type="character" w:styleId="8">
    <w:name w:val="page number"/>
    <w:basedOn w:val="7"/>
    <w:qFormat/>
    <w:uiPriority w:val="0"/>
    <w:rPr>
      <w:rFonts w:ascii="Times New Roman" w:hAnsi="Times New Roman" w:eastAsia="华文新魏" w:cs="Times New Roman"/>
    </w:rPr>
  </w:style>
  <w:style w:type="paragraph" w:customStyle="1" w:styleId="9">
    <w:name w:val="表格文字"/>
    <w:basedOn w:val="1"/>
    <w:qFormat/>
    <w:uiPriority w:val="99"/>
    <w:pPr>
      <w:spacing w:before="25" w:after="25"/>
      <w:jc w:val="left"/>
    </w:pPr>
    <w:rPr>
      <w:rFonts w:ascii="Times New Roman" w:hAnsi="Times New Roman"/>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2022-04-19T07:54:00Z</dcterms:created>
  <dc:creator>KL</dc:creator>
  <cp:lastModifiedBy>KL</cp:lastModifiedBy>
  <dcterms:modified xsi:type="dcterms:W3CDTF">2022-04-19T07:55:17Z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